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rFonts w:ascii="Times New Roman" w:hAnsi="Times New Roman" w:cs="Times New Roman"/>
          <w:sz w:val="30"/>
          <w:szCs w:val="30"/>
        </w:rPr>
      </w:pPr>
      <w:r>
        <w:rPr>
          <w:rFonts w:cs="Times New Roman" w:ascii="Times New Roman" w:hAnsi="Times New Roman"/>
          <w:sz w:val="30"/>
          <w:szCs w:val="30"/>
        </w:rPr>
        <w:t xml:space="preserve">КОНКУРСНАЯ ДОКУМЕНТАЦИЯ </w:t>
      </w:r>
    </w:p>
    <w:p>
      <w:pPr>
        <w:pStyle w:val="Normal"/>
        <w:jc w:val="center"/>
        <w:rPr>
          <w:rFonts w:ascii="Times New Roman" w:hAnsi="Times New Roman" w:cs="Times New Roman"/>
          <w:sz w:val="24"/>
          <w:szCs w:val="24"/>
        </w:rPr>
      </w:pPr>
      <w:r>
        <w:rPr>
          <w:rFonts w:cs="Times New Roman" w:ascii="Times New Roman" w:hAnsi="Times New Roman"/>
          <w:sz w:val="24"/>
          <w:szCs w:val="24"/>
        </w:rPr>
        <w:t xml:space="preserve">на право заключения договора на изготовление, поставку и монтаж дверей промышленной серии охлаждаемых помещений строящегося объекта капитального строительства «Агропромышленный парк «Черногорский»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 xml:space="preserve">Абакан 2026 г. </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 xml:space="preserve">Общество с ограниченной ответственностью «Управляющая компания Инфраструктура Хакасии» (ИНН </w:t>
      </w:r>
      <w:r>
        <w:rPr>
          <w:rFonts w:eastAsia="Times New Roman" w:cs="Times New Roman" w:ascii="Times New Roman" w:hAnsi="Times New Roman"/>
          <w:sz w:val="24"/>
          <w:szCs w:val="24"/>
          <w:lang w:eastAsia="ru-RU"/>
        </w:rPr>
        <w:t>1900014583)</w:t>
      </w:r>
      <w:r>
        <w:rPr>
          <w:rFonts w:cs="Times New Roman" w:ascii="Times New Roman" w:hAnsi="Times New Roman"/>
          <w:sz w:val="24"/>
          <w:szCs w:val="24"/>
        </w:rPr>
        <w:t xml:space="preserve"> на правах Заказчика приглашает заинтересованных лиц принять участие в закупке (процедуре отбора Контрагентов) в форме конкурса на право заключения договора на изготовление, поставку и монтаж дверей промышленной серии охлаждаемых помещений строящегося объекта капитального строительства «Агропромышленный парк «Черногорский». </w:t>
      </w:r>
    </w:p>
    <w:p>
      <w:pPr>
        <w:pStyle w:val="Normal"/>
        <w:ind w:firstLine="709"/>
        <w:jc w:val="both"/>
        <w:rPr>
          <w:rFonts w:ascii="Times New Roman" w:hAnsi="Times New Roman" w:cs="Times New Roman"/>
          <w:sz w:val="24"/>
          <w:szCs w:val="24"/>
        </w:rPr>
      </w:pPr>
      <w:r>
        <w:rPr>
          <w:rFonts w:cs="Times New Roman" w:ascii="Times New Roman" w:hAnsi="Times New Roman"/>
          <w:b/>
          <w:sz w:val="24"/>
          <w:szCs w:val="24"/>
        </w:rPr>
        <w:t xml:space="preserve">Организатор закупки (Заказчик): </w:t>
      </w:r>
      <w:r>
        <w:rPr>
          <w:rFonts w:cs="Times New Roman" w:ascii="Times New Roman" w:hAnsi="Times New Roman"/>
          <w:sz w:val="24"/>
          <w:szCs w:val="24"/>
        </w:rPr>
        <w:t>общество с ограниченной ответственностью «Управляющая компания Инфраструктура Хакасии».</w:t>
      </w:r>
    </w:p>
    <w:p>
      <w:pPr>
        <w:pStyle w:val="ListParagraph"/>
        <w:numPr>
          <w:ilvl w:val="0"/>
          <w:numId w:val="4"/>
        </w:numPr>
        <w:tabs>
          <w:tab w:val="clear" w:pos="708"/>
          <w:tab w:val="left" w:pos="993" w:leader="none"/>
        </w:tabs>
        <w:spacing w:before="0" w:after="0"/>
        <w:ind w:firstLine="709" w:left="0"/>
        <w:contextualSpacing/>
        <w:jc w:val="both"/>
        <w:rPr>
          <w:rFonts w:ascii="Times New Roman" w:hAnsi="Times New Roman" w:cs="Times New Roman"/>
          <w:color w:val="000000"/>
          <w:sz w:val="24"/>
          <w:szCs w:val="24"/>
        </w:rPr>
      </w:pPr>
      <w:r>
        <w:rPr>
          <w:rFonts w:cs="Times New Roman" w:ascii="Times New Roman" w:hAnsi="Times New Roman"/>
          <w:b/>
          <w:sz w:val="24"/>
          <w:szCs w:val="24"/>
        </w:rPr>
        <w:t>Место нахождения:</w:t>
      </w:r>
      <w:r>
        <w:rPr>
          <w:rFonts w:cs="Times New Roman" w:ascii="Times New Roman" w:hAnsi="Times New Roman"/>
          <w:sz w:val="24"/>
          <w:szCs w:val="24"/>
        </w:rPr>
        <w:t xml:space="preserve"> Республика Хакасия, г. Абакан, ул. Крылова, д. 47А, 2 эт., каб. 208, 202.  </w:t>
      </w:r>
      <w:r>
        <w:rPr>
          <w:rFonts w:cs="Times New Roman" w:ascii="Times New Roman" w:hAnsi="Times New Roman"/>
          <w:bCs/>
          <w:sz w:val="24"/>
          <w:szCs w:val="24"/>
        </w:rPr>
        <w:t>Почтовый адрес:</w:t>
      </w:r>
      <w:r>
        <w:rPr>
          <w:rFonts w:cs="Times New Roman" w:ascii="Times New Roman" w:hAnsi="Times New Roman"/>
          <w:sz w:val="24"/>
          <w:szCs w:val="24"/>
        </w:rPr>
        <w:t xml:space="preserve"> Республика Хакасия, г. Абакан, ул. Крылова, д. 47А, адрес электронной почты: </w:t>
      </w:r>
      <w:hyperlink r:id="rId2">
        <w:r>
          <w:rPr>
            <w:rStyle w:val="Hyperlink"/>
            <w:rFonts w:cs="Times New Roman" w:ascii="Times New Roman" w:hAnsi="Times New Roman"/>
            <w:sz w:val="24"/>
            <w:szCs w:val="24"/>
          </w:rPr>
          <w:t>uk.ikhakasii@yandex.ru</w:t>
        </w:r>
      </w:hyperlink>
      <w:r>
        <w:rPr>
          <w:rFonts w:cs="Times New Roman" w:ascii="Times New Roman" w:hAnsi="Times New Roman"/>
          <w:color w:val="000000"/>
          <w:sz w:val="24"/>
          <w:szCs w:val="24"/>
        </w:rPr>
        <w:t xml:space="preserve">, номер контактного телефона: 8 (3902) 250 500 (доб. 203, 221). </w:t>
      </w:r>
    </w:p>
    <w:p>
      <w:pPr>
        <w:pStyle w:val="ListParagraph"/>
        <w:numPr>
          <w:ilvl w:val="0"/>
          <w:numId w:val="4"/>
        </w:numPr>
        <w:tabs>
          <w:tab w:val="clear" w:pos="708"/>
          <w:tab w:val="left" w:pos="993" w:leader="none"/>
        </w:tabs>
        <w:spacing w:before="0" w:after="0"/>
        <w:ind w:firstLine="709" w:left="0"/>
        <w:contextualSpacing/>
        <w:jc w:val="both"/>
        <w:rPr>
          <w:rFonts w:ascii="Times New Roman" w:hAnsi="Times New Roman" w:cs="Times New Roman"/>
          <w:b/>
          <w:bCs/>
          <w:color w:themeColor="text1" w:val="000000"/>
          <w:sz w:val="24"/>
          <w:szCs w:val="24"/>
        </w:rPr>
      </w:pPr>
      <w:r>
        <w:rPr>
          <w:rFonts w:cs="Times New Roman" w:ascii="Times New Roman" w:hAnsi="Times New Roman"/>
          <w:b/>
          <w:bCs/>
          <w:color w:val="000000"/>
          <w:sz w:val="24"/>
          <w:szCs w:val="24"/>
        </w:rPr>
        <w:t xml:space="preserve">Дата и время приема заявок: </w:t>
      </w:r>
      <w:r>
        <w:rPr>
          <w:rFonts w:cs="Times New Roman" w:ascii="Times New Roman" w:hAnsi="Times New Roman"/>
          <w:bCs/>
          <w:color w:val="000000"/>
          <w:sz w:val="24"/>
          <w:szCs w:val="24"/>
        </w:rPr>
        <w:t>в рабочие дни в период</w:t>
      </w:r>
      <w:r>
        <w:rPr>
          <w:rFonts w:cs="Times New Roman" w:ascii="Times New Roman" w:hAnsi="Times New Roman"/>
          <w:b/>
          <w:bCs/>
          <w:color w:val="000000"/>
          <w:sz w:val="24"/>
          <w:szCs w:val="24"/>
        </w:rPr>
        <w:t xml:space="preserve"> </w:t>
      </w:r>
      <w:r>
        <w:rPr>
          <w:rFonts w:cs="Times New Roman" w:ascii="Times New Roman" w:hAnsi="Times New Roman"/>
          <w:color w:themeColor="text1" w:val="000000"/>
          <w:sz w:val="24"/>
          <w:szCs w:val="24"/>
        </w:rPr>
        <w:t>с 9.00ч. 03.09.2026г. до 17.00ч. (местного времени) 16.09.2026г. с перерывом с 13.00 ч. до 14.00 ч.</w:t>
      </w:r>
    </w:p>
    <w:p>
      <w:pPr>
        <w:pStyle w:val="ListParagraph"/>
        <w:numPr>
          <w:ilvl w:val="0"/>
          <w:numId w:val="4"/>
        </w:numPr>
        <w:tabs>
          <w:tab w:val="clear" w:pos="708"/>
          <w:tab w:val="left" w:pos="426" w:leader="none"/>
          <w:tab w:val="left" w:pos="709" w:leader="none"/>
          <w:tab w:val="left" w:pos="993" w:leader="none"/>
          <w:tab w:val="left" w:pos="1276" w:leader="none"/>
          <w:tab w:val="left" w:pos="6456" w:leader="none"/>
        </w:tabs>
        <w:spacing w:before="0" w:after="0"/>
        <w:ind w:firstLine="709" w:left="0"/>
        <w:contextualSpacing/>
        <w:jc w:val="both"/>
        <w:rPr>
          <w:rFonts w:ascii="Times New Roman" w:hAnsi="Times New Roman" w:cs="Times New Roman"/>
          <w:sz w:val="24"/>
          <w:szCs w:val="24"/>
        </w:rPr>
      </w:pPr>
      <w:r>
        <w:rPr>
          <w:rFonts w:cs="Times New Roman" w:ascii="Times New Roman" w:hAnsi="Times New Roman"/>
          <w:b/>
          <w:color w:val="000000"/>
          <w:sz w:val="24"/>
          <w:szCs w:val="24"/>
        </w:rPr>
        <w:t>Сведения о максимальной цене договора:</w:t>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6235"/>
        <w:gridCol w:w="1045"/>
        <w:gridCol w:w="2075"/>
      </w:tblGrid>
      <w:tr>
        <w:trPr>
          <w:trHeight w:val="849" w:hRule="atLeast"/>
        </w:trPr>
        <w:tc>
          <w:tcPr>
            <w:tcW w:w="62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Наименование систем налогообложения участника конкурса</w:t>
            </w:r>
          </w:p>
        </w:tc>
        <w:tc>
          <w:tcPr>
            <w:tcW w:w="10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Единица измерения</w:t>
            </w:r>
          </w:p>
        </w:tc>
        <w:tc>
          <w:tcPr>
            <w:tcW w:w="20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Начальная максимальная цена договора</w:t>
            </w:r>
          </w:p>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(НМЦД)</w:t>
            </w:r>
          </w:p>
        </w:tc>
      </w:tr>
      <w:tr>
        <w:trPr>
          <w:trHeight w:val="260" w:hRule="atLeast"/>
        </w:trPr>
        <w:tc>
          <w:tcPr>
            <w:tcW w:w="62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w:t>
            </w:r>
          </w:p>
        </w:tc>
        <w:tc>
          <w:tcPr>
            <w:tcW w:w="2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w:t>
            </w:r>
          </w:p>
        </w:tc>
      </w:tr>
      <w:tr>
        <w:trPr>
          <w:trHeight w:val="260" w:hRule="atLeast"/>
        </w:trPr>
        <w:tc>
          <w:tcPr>
            <w:tcW w:w="62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Стоимость без учета НДС</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Times New Roman" w:cs="Times New Roman" w:ascii="Times New Roman" w:hAnsi="Times New Roman"/>
                <w:color w:val="000000"/>
                <w:sz w:val="20"/>
                <w:szCs w:val="20"/>
                <w:lang w:eastAsia="ru-RU"/>
              </w:rPr>
              <w:t>руб.</w:t>
            </w:r>
          </w:p>
        </w:tc>
        <w:tc>
          <w:tcPr>
            <w:tcW w:w="2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7347185,64</w:t>
            </w:r>
          </w:p>
        </w:tc>
      </w:tr>
      <w:tr>
        <w:trPr>
          <w:trHeight w:val="260" w:hRule="atLeast"/>
        </w:trPr>
        <w:tc>
          <w:tcPr>
            <w:tcW w:w="62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i/>
                <w:i/>
                <w:color w:val="000000"/>
                <w:sz w:val="20"/>
                <w:szCs w:val="20"/>
                <w:lang w:eastAsia="ru-RU"/>
              </w:rPr>
            </w:pPr>
            <w:r>
              <w:rPr>
                <w:rFonts w:eastAsia="Times New Roman" w:cs="Times New Roman" w:ascii="Times New Roman" w:hAnsi="Times New Roman"/>
                <w:i/>
                <w:color w:val="000000"/>
                <w:sz w:val="20"/>
                <w:szCs w:val="20"/>
                <w:lang w:eastAsia="ru-RU"/>
              </w:rPr>
              <w:t>Участник, применяющий ОСНО</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2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r>
          </w:p>
        </w:tc>
      </w:tr>
      <w:tr>
        <w:trPr>
          <w:trHeight w:val="260" w:hRule="atLeast"/>
        </w:trPr>
        <w:tc>
          <w:tcPr>
            <w:tcW w:w="62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НДС 22%</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Times New Roman" w:cs="Times New Roman" w:ascii="Times New Roman" w:hAnsi="Times New Roman"/>
                <w:color w:val="000000"/>
                <w:sz w:val="20"/>
                <w:szCs w:val="20"/>
                <w:lang w:eastAsia="ru-RU"/>
              </w:rPr>
              <w:t>руб.</w:t>
            </w:r>
          </w:p>
        </w:tc>
        <w:tc>
          <w:tcPr>
            <w:tcW w:w="2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1616380,84</w:t>
            </w:r>
          </w:p>
        </w:tc>
      </w:tr>
      <w:tr>
        <w:trPr>
          <w:trHeight w:val="260" w:hRule="atLeast"/>
        </w:trPr>
        <w:tc>
          <w:tcPr>
            <w:tcW w:w="623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Стоимость с учетом НДС (НМЦД</w:t>
            </w:r>
            <w:r>
              <w:rPr>
                <w:rFonts w:eastAsia="Times New Roman" w:cs="Times New Roman" w:ascii="Times New Roman" w:hAnsi="Times New Roman"/>
                <w:b/>
                <w:color w:val="000000"/>
                <w:sz w:val="20"/>
                <w:szCs w:val="20"/>
                <w:vertAlign w:val="subscript"/>
                <w:lang w:eastAsia="ru-RU"/>
              </w:rPr>
              <w:t>22%</w:t>
            </w:r>
            <w:r>
              <w:rPr>
                <w:rFonts w:eastAsia="Times New Roman" w:cs="Times New Roman" w:ascii="Times New Roman" w:hAnsi="Times New Roman"/>
                <w:b/>
                <w:color w:val="000000"/>
                <w:sz w:val="20"/>
                <w:szCs w:val="20"/>
                <w:lang w:eastAsia="ru-RU"/>
              </w:rPr>
              <w:t>)</w:t>
            </w:r>
          </w:p>
        </w:tc>
        <w:tc>
          <w:tcPr>
            <w:tcW w:w="104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color w:val="000000"/>
                <w:sz w:val="20"/>
                <w:szCs w:val="20"/>
                <w:lang w:eastAsia="ru-RU"/>
              </w:rPr>
              <w:t xml:space="preserve"> </w:t>
            </w:r>
            <w:r>
              <w:rPr>
                <w:rFonts w:eastAsia="Times New Roman" w:cs="Times New Roman" w:ascii="Times New Roman" w:hAnsi="Times New Roman"/>
                <w:color w:val="000000"/>
                <w:sz w:val="20"/>
                <w:szCs w:val="20"/>
                <w:lang w:eastAsia="ru-RU"/>
              </w:rPr>
              <w:t>руб.</w:t>
            </w:r>
          </w:p>
        </w:tc>
        <w:tc>
          <w:tcPr>
            <w:tcW w:w="207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8963566,48</w:t>
            </w:r>
          </w:p>
        </w:tc>
      </w:tr>
      <w:tr>
        <w:trPr>
          <w:trHeight w:val="260" w:hRule="atLeast"/>
        </w:trPr>
        <w:tc>
          <w:tcPr>
            <w:tcW w:w="623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Участник, применяющий УСН и не являющийся плательщиком НДС</w:t>
            </w:r>
          </w:p>
        </w:tc>
        <w:tc>
          <w:tcPr>
            <w:tcW w:w="104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07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0" w:hRule="atLeast"/>
        </w:trPr>
        <w:tc>
          <w:tcPr>
            <w:tcW w:w="623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Возмещение НДС при УСН</w:t>
            </w:r>
          </w:p>
        </w:tc>
        <w:tc>
          <w:tcPr>
            <w:tcW w:w="104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sz w:val="20"/>
                <w:szCs w:val="20"/>
                <w:lang w:eastAsia="ru-RU"/>
              </w:rPr>
              <w:t>руб.</w:t>
            </w:r>
          </w:p>
        </w:tc>
        <w:tc>
          <w:tcPr>
            <w:tcW w:w="207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1271520,09</w:t>
            </w:r>
          </w:p>
        </w:tc>
      </w:tr>
      <w:tr>
        <w:trPr>
          <w:trHeight w:val="437" w:hRule="atLeast"/>
        </w:trPr>
        <w:tc>
          <w:tcPr>
            <w:tcW w:w="62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 xml:space="preserve">Стоимость по упрощённой системе налогообложения (НМЦД </w:t>
            </w:r>
            <w:r>
              <w:rPr>
                <w:rFonts w:eastAsia="Times New Roman" w:cs="Times New Roman" w:ascii="Times New Roman" w:hAnsi="Times New Roman"/>
                <w:b/>
                <w:color w:val="000000"/>
                <w:sz w:val="20"/>
                <w:szCs w:val="20"/>
                <w:vertAlign w:val="subscript"/>
                <w:lang w:eastAsia="ru-RU"/>
              </w:rPr>
              <w:t>без НДС</w:t>
            </w:r>
            <w:r>
              <w:rPr>
                <w:rFonts w:eastAsia="Times New Roman" w:cs="Times New Roman" w:ascii="Times New Roman" w:hAnsi="Times New Roman"/>
                <w:b/>
                <w:color w:val="000000"/>
                <w:sz w:val="20"/>
                <w:szCs w:val="20"/>
                <w:lang w:eastAsia="ru-RU"/>
              </w:rPr>
              <w:t>)</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Times New Roman" w:cs="Times New Roman" w:ascii="Times New Roman" w:hAnsi="Times New Roman"/>
                <w:color w:val="000000"/>
                <w:sz w:val="20"/>
                <w:szCs w:val="20"/>
                <w:lang w:eastAsia="ru-RU"/>
              </w:rPr>
              <w:t>руб.</w:t>
            </w:r>
          </w:p>
        </w:tc>
        <w:tc>
          <w:tcPr>
            <w:tcW w:w="2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sz w:val="20"/>
                <w:szCs w:val="20"/>
                <w:lang w:eastAsia="ru-RU"/>
              </w:rPr>
              <w:t>8618705,73</w:t>
            </w:r>
          </w:p>
        </w:tc>
      </w:tr>
      <w:tr>
        <w:trPr>
          <w:trHeight w:val="245" w:hRule="atLeast"/>
        </w:trPr>
        <w:tc>
          <w:tcPr>
            <w:tcW w:w="62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i/>
                <w:i/>
                <w:color w:val="000000"/>
                <w:sz w:val="20"/>
                <w:szCs w:val="20"/>
                <w:lang w:eastAsia="ru-RU"/>
              </w:rPr>
            </w:pPr>
            <w:r>
              <w:rPr>
                <w:rFonts w:eastAsia="Times New Roman" w:cs="Times New Roman" w:ascii="Times New Roman" w:hAnsi="Times New Roman"/>
                <w:i/>
                <w:color w:val="000000"/>
                <w:sz w:val="20"/>
                <w:szCs w:val="20"/>
                <w:lang w:eastAsia="ru-RU"/>
              </w:rPr>
              <w:t>Участник, применяющий УСН и являющийся плательщиком НДС 5%</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2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rHeight w:val="411" w:hRule="atLeast"/>
        </w:trPr>
        <w:tc>
          <w:tcPr>
            <w:tcW w:w="62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НДС 5%</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Times New Roman" w:cs="Times New Roman" w:ascii="Times New Roman" w:hAnsi="Times New Roman"/>
                <w:color w:val="000000"/>
                <w:sz w:val="20"/>
                <w:szCs w:val="20"/>
                <w:lang w:eastAsia="ru-RU"/>
              </w:rPr>
              <w:t>руб.</w:t>
            </w:r>
          </w:p>
        </w:tc>
        <w:tc>
          <w:tcPr>
            <w:tcW w:w="2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430935,29</w:t>
            </w:r>
          </w:p>
        </w:tc>
      </w:tr>
      <w:tr>
        <w:trPr>
          <w:trHeight w:val="329" w:hRule="atLeast"/>
        </w:trPr>
        <w:tc>
          <w:tcPr>
            <w:tcW w:w="62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Стоимость с учетом НДС 5% (НМЦД</w:t>
            </w:r>
            <w:r>
              <w:rPr>
                <w:rFonts w:eastAsia="Times New Roman" w:cs="Times New Roman" w:ascii="Times New Roman" w:hAnsi="Times New Roman"/>
                <w:b/>
                <w:color w:val="000000"/>
                <w:sz w:val="20"/>
                <w:szCs w:val="20"/>
                <w:vertAlign w:val="subscript"/>
                <w:lang w:eastAsia="ru-RU"/>
              </w:rPr>
              <w:t>5%</w:t>
            </w:r>
            <w:r>
              <w:rPr>
                <w:rFonts w:eastAsia="Times New Roman" w:cs="Times New Roman" w:ascii="Times New Roman" w:hAnsi="Times New Roman"/>
                <w:b/>
                <w:color w:val="000000"/>
                <w:sz w:val="20"/>
                <w:szCs w:val="20"/>
                <w:lang w:eastAsia="ru-RU"/>
              </w:rPr>
              <w:t>)</w:t>
            </w:r>
          </w:p>
        </w:tc>
        <w:tc>
          <w:tcPr>
            <w:tcW w:w="104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sz w:val="20"/>
                <w:szCs w:val="20"/>
                <w:lang w:eastAsia="ru-RU"/>
              </w:rPr>
              <w:t>руб.</w:t>
            </w:r>
          </w:p>
        </w:tc>
        <w:tc>
          <w:tcPr>
            <w:tcW w:w="207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9049641,02</w:t>
            </w:r>
          </w:p>
        </w:tc>
      </w:tr>
      <w:tr>
        <w:trPr>
          <w:trHeight w:val="275" w:hRule="atLeast"/>
        </w:trPr>
        <w:tc>
          <w:tcPr>
            <w:tcW w:w="623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i/>
                <w:i/>
                <w:color w:val="000000"/>
                <w:sz w:val="20"/>
                <w:szCs w:val="20"/>
                <w:lang w:eastAsia="ru-RU"/>
              </w:rPr>
            </w:pPr>
            <w:r>
              <w:rPr>
                <w:rFonts w:eastAsia="Times New Roman" w:cs="Times New Roman" w:ascii="Times New Roman" w:hAnsi="Times New Roman"/>
                <w:i/>
                <w:color w:val="000000"/>
                <w:sz w:val="20"/>
                <w:szCs w:val="20"/>
                <w:lang w:eastAsia="ru-RU"/>
              </w:rPr>
              <w:t>Участник, применяющий УСН и являющийся плательщиком НДС 7%</w:t>
            </w:r>
          </w:p>
        </w:tc>
        <w:tc>
          <w:tcPr>
            <w:tcW w:w="104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07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0" w:hRule="atLeast"/>
        </w:trPr>
        <w:tc>
          <w:tcPr>
            <w:tcW w:w="62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НДС 7%</w:t>
            </w:r>
          </w:p>
        </w:tc>
        <w:tc>
          <w:tcPr>
            <w:tcW w:w="104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sz w:val="20"/>
                <w:szCs w:val="20"/>
                <w:lang w:eastAsia="ru-RU"/>
              </w:rPr>
              <w:t>руб.</w:t>
            </w:r>
          </w:p>
        </w:tc>
        <w:tc>
          <w:tcPr>
            <w:tcW w:w="207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603309,4</w:t>
            </w:r>
          </w:p>
        </w:tc>
      </w:tr>
      <w:tr>
        <w:trPr>
          <w:trHeight w:val="308" w:hRule="atLeast"/>
        </w:trPr>
        <w:tc>
          <w:tcPr>
            <w:tcW w:w="62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Стоимость с учетом НДС 7%(НМЦД</w:t>
            </w:r>
            <w:r>
              <w:rPr>
                <w:rFonts w:eastAsia="Times New Roman" w:cs="Times New Roman" w:ascii="Times New Roman" w:hAnsi="Times New Roman"/>
                <w:b/>
                <w:color w:val="000000"/>
                <w:sz w:val="20"/>
                <w:szCs w:val="20"/>
                <w:vertAlign w:val="subscript"/>
                <w:lang w:eastAsia="ru-RU"/>
              </w:rPr>
              <w:t>7%)</w:t>
            </w:r>
          </w:p>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104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руб.</w:t>
            </w:r>
          </w:p>
        </w:tc>
        <w:tc>
          <w:tcPr>
            <w:tcW w:w="207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9222015,13</w:t>
            </w:r>
          </w:p>
        </w:tc>
      </w:tr>
    </w:tbl>
    <w:p>
      <w:pPr>
        <w:pStyle w:val="ListParagraph"/>
        <w:tabs>
          <w:tab w:val="clear" w:pos="708"/>
          <w:tab w:val="left" w:pos="426" w:leader="none"/>
          <w:tab w:val="left" w:pos="709" w:leader="none"/>
          <w:tab w:val="left" w:pos="1276" w:leader="none"/>
          <w:tab w:val="left" w:pos="6456" w:leader="none"/>
        </w:tabs>
        <w:spacing w:before="0" w:after="0"/>
        <w:ind w:left="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4"/>
        </w:numPr>
        <w:tabs>
          <w:tab w:val="clear" w:pos="708"/>
          <w:tab w:val="left" w:pos="993" w:leader="none"/>
        </w:tabs>
        <w:spacing w:before="0" w:after="0"/>
        <w:ind w:firstLine="709" w:left="0"/>
        <w:contextualSpacing/>
        <w:jc w:val="both"/>
        <w:rPr>
          <w:rFonts w:ascii="Times New Roman" w:hAnsi="Times New Roman" w:cs="Times New Roman"/>
          <w:b/>
          <w:color w:val="000000"/>
          <w:sz w:val="24"/>
          <w:szCs w:val="24"/>
        </w:rPr>
      </w:pPr>
      <w:r>
        <w:rPr>
          <w:rFonts w:cs="Times New Roman" w:ascii="Times New Roman" w:hAnsi="Times New Roman"/>
          <w:b/>
          <w:color w:val="000000"/>
          <w:sz w:val="24"/>
          <w:szCs w:val="24"/>
        </w:rPr>
        <w:t xml:space="preserve">Порядок приема заявок на участие в закупке (процедуре отбора Контрагентов): </w:t>
      </w:r>
    </w:p>
    <w:p>
      <w:pPr>
        <w:pStyle w:val="ListParagraph"/>
        <w:numPr>
          <w:ilvl w:val="1"/>
          <w:numId w:val="5"/>
        </w:numPr>
        <w:tabs>
          <w:tab w:val="clear" w:pos="708"/>
          <w:tab w:val="left" w:pos="1276" w:leader="none"/>
        </w:tabs>
        <w:spacing w:lineRule="auto" w:line="240" w:before="0" w:after="0"/>
        <w:ind w:firstLine="709" w:left="0"/>
        <w:contextualSpacing/>
        <w:jc w:val="both"/>
        <w:rPr>
          <w:rFonts w:ascii="Times New Roman" w:hAnsi="Times New Roman" w:eastAsia="Times New Roman" w:cs="Times New Roman"/>
          <w:color w:val="000000"/>
          <w:sz w:val="24"/>
          <w:szCs w:val="24"/>
        </w:rPr>
      </w:pPr>
      <w:r>
        <w:rPr>
          <w:rFonts w:cs="Times New Roman" w:ascii="Times New Roman" w:hAnsi="Times New Roman"/>
          <w:color w:val="000000"/>
          <w:sz w:val="24"/>
          <w:szCs w:val="24"/>
        </w:rPr>
        <w:t>З</w:t>
      </w:r>
      <w:r>
        <w:rPr>
          <w:rFonts w:eastAsia="Times New Roman" w:cs="Times New Roman" w:ascii="Times New Roman" w:hAnsi="Times New Roman"/>
          <w:sz w:val="24"/>
          <w:szCs w:val="24"/>
        </w:rPr>
        <w:t xml:space="preserve">аявка на участие в конкурсе (отборе Контрагентов) с приложением документов, </w:t>
      </w:r>
      <w:r>
        <w:rPr>
          <w:rFonts w:eastAsia="Times New Roman" w:cs="Times New Roman" w:ascii="Times New Roman" w:hAnsi="Times New Roman"/>
          <w:color w:val="000000"/>
          <w:sz w:val="24"/>
          <w:szCs w:val="24"/>
        </w:rPr>
        <w:t xml:space="preserve">указанных в настоящей конкурсной документации, заверенных надлежащим образом (с указанием должности и ФИО лица, заверившего документы, и даты их заверения. При подаче через электронный документооборот (ЭДО) заверяется каждый лист документа либо пакет документов. Заявка подписывается отдельно), </w:t>
      </w:r>
      <w:r>
        <w:rPr>
          <w:rFonts w:eastAsia="Times New Roman" w:cs="Times New Roman" w:ascii="Times New Roman" w:hAnsi="Times New Roman"/>
          <w:sz w:val="24"/>
          <w:szCs w:val="24"/>
        </w:rPr>
        <w:t xml:space="preserve">подается прошитой (за исключением подачи через ЭДО) в </w:t>
      </w:r>
      <w:r>
        <w:rPr>
          <w:rFonts w:eastAsia="Times New Roman" w:cs="Times New Roman" w:ascii="Times New Roman" w:hAnsi="Times New Roman"/>
          <w:color w:val="000000"/>
          <w:sz w:val="24"/>
          <w:szCs w:val="24"/>
        </w:rPr>
        <w:t xml:space="preserve">письменном виде за подписью уполномоченного лица и печатью (при наличии) участника закупки (процедуры отбора Контрагентов) по форме (Приложение №1 к настоящей конкурсной документации). К поданной заявке с документами прикладывается опись документов. </w:t>
      </w:r>
    </w:p>
    <w:p>
      <w:pPr>
        <w:pStyle w:val="ListParagraph"/>
        <w:spacing w:before="0" w:after="0"/>
        <w:ind w:firstLine="709" w:left="0"/>
        <w:contextualSpacing/>
        <w:jc w:val="both"/>
        <w:rPr>
          <w:rFonts w:ascii="Times New Roman" w:hAnsi="Times New Roman" w:eastAsia="Times New Roman" w:cs="Times New Roman"/>
          <w:color w:val="000000"/>
          <w:sz w:val="24"/>
          <w:szCs w:val="24"/>
        </w:rPr>
      </w:pPr>
      <w:r>
        <w:rPr>
          <w:rFonts w:cs="Times New Roman" w:ascii="Times New Roman" w:hAnsi="Times New Roman"/>
          <w:color w:val="000000"/>
          <w:sz w:val="24"/>
          <w:szCs w:val="24"/>
        </w:rPr>
        <w:t xml:space="preserve">В случае, если заявка оформлена с отклонениями от требований настоящей конкурсной документации, соответствующая заявка не допускается к участию в конкурсе.  </w:t>
      </w:r>
      <w:r>
        <w:rPr>
          <w:rFonts w:eastAsia="Times New Roman" w:cs="Times New Roman" w:ascii="Times New Roman" w:hAnsi="Times New Roman"/>
          <w:color w:val="000000"/>
          <w:sz w:val="24"/>
          <w:szCs w:val="24"/>
        </w:rPr>
        <w:t xml:space="preserve"> </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Заявка на участие в конкурсе (процедуре отбора Контрагентов) с приложением документов предоставляется в запечатанном конверте, с указанием на нем наименования (ФИО для индивидуальных предпринимателей) участника конкурса, нарочно либо экспресс-почтой по месту нахождения Заказчика, указанному в настоящей конкурсной документации, либо через электронный документооборот «Контур Диадок» (ЭДО). </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При подаче документов через ЭДО приглашение на обмен документами (направление заявки и документов к ней) может быть получено участником закупки заблаговременно путем направления указанного приглашения.  </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Заявка с приложенными документами, поданная через ЭДО, считается принятой с момента поступления от участника закупки Заказчику.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Заявка и прилагаемые к ней документы должны быть с читаемым текстом на русском языке либо с приложением надлежащим образом заверенного перевода на русский язык.</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Участник конкурса (процедуры отбора Контрагентов) вправе подать только одну заявку на участие в любое время с момента начала приема заявок до времени окончания подачи заявок. Участник конкурса (процедуры отбора Контрагентов) вправе изменить или отозвать свою заявку до истечения срока подачи заявок.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Поступившая в срок, указанный конкурсной документацией, заявка подлежит регистрации Заказчиком. Заявки, поступившие по истечении указанного срока, в том числе через ЭДО, или в незапечатанном конверте (с повреждением конверта) отклоняются (не принимаются Заказчиком). Заказчиком выдается расписка в получении заявки с приложением документов (получении конверта) (при подаче через ЭДО - подтверждением поступления документов считается отметка о поступлении в соответствии с порядком работы системы ЭДО) с указанием даты и времени его получения (временем и датой подачи заявки с документами через ЭДО считается дата и время ее поступления Заказчику) документов Заказчиком.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Если по окончании срока подачи заявок на участие в конкурсе (отборе Контрагентов) не подана ни одна заявка, конкурс (отбор Контрагентов) признается несостоявшимся. Заказчик вправе провести повторную процедуру по организации конкурса (отбору Контрагентов), или организовать закупку в иной конкурентной форме.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Конкурсные заявки вскрываются комиссией по осуществлению закупок не позднее 3 рабочих (трех) дней после окончания срока приема заявок, указанного в конкурсной документации. Комиссия по осуществлению закупок рассматривает конкурсные заявки на соответствие требованиям, установленным конкурсной документацией и оценивает их в соответствии с критериями и порядком оценки, предусмотренными конкурсной документацией. Срок рассмотрения заявок не должен превышать 10 (десять) рабочих дней со дня вскрытия конвертов.</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 результате рассмотрения заявок комиссией по осуществлению закупок на соответствие требованиям принимается решение о допуске к участию в конкурсе участника закупки (отбора Контрагентов) либо об отказе в допуске.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Конкурс признается несостоявшимся, если по результатам рассмотрения заявок и оценки их на соответствие требованиям принято решение о несоответствии требованиям конкурсной документации всех заявок.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Заявки, соответствующие требованиям конкурсной документации, далее оцениваются по критериям, установленным в конкурсной документации.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Комиссия по осуществлению закупок осуществляет оценку заявок, соответствующих требованиям, по критериям, установленным в конкурсной документации.</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Победителем конкурса признается участник, который в полной мере соответствует требованиям конкурсной документации.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случае, если требованиям конкурсной документации соответствуют несколько участников конкурса (набрали равное количество баллов (% соответствия)), победителем признается участник конкурса, чья заявка на участие поступила раньше.</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Сумма значимости критериев и порядок подсчета баллов (% соответствия) определены в Приложении №2 к настоящей конкурсной документации. </w:t>
      </w:r>
    </w:p>
    <w:p>
      <w:pPr>
        <w:pStyle w:val="ListParagraph"/>
        <w:numPr>
          <w:ilvl w:val="1"/>
          <w:numId w:val="5"/>
        </w:numPr>
        <w:spacing w:lineRule="auto" w:line="240" w:before="0" w:after="0"/>
        <w:ind w:firstLine="709" w:left="0"/>
        <w:contextualSpacing/>
        <w:jc w:val="both"/>
        <w:rPr>
          <w:color w:val="000000"/>
        </w:rPr>
      </w:pPr>
      <w:r>
        <w:rPr>
          <w:rFonts w:eastAsia="Times New Roman" w:cs="Times New Roman" w:ascii="Times New Roman" w:hAnsi="Times New Roman"/>
          <w:color w:val="000000"/>
          <w:sz w:val="24"/>
          <w:szCs w:val="24"/>
        </w:rPr>
        <w:t>Заявка участника отклоняется в следующих случаях:</w:t>
      </w:r>
    </w:p>
    <w:p>
      <w:pPr>
        <w:pStyle w:val="ListParagraph"/>
        <w:numPr>
          <w:ilvl w:val="2"/>
          <w:numId w:val="1"/>
        </w:numPr>
        <w:tabs>
          <w:tab w:val="clear" w:pos="708"/>
          <w:tab w:val="left" w:pos="993" w:leader="none"/>
          <w:tab w:val="left" w:pos="1560" w:leader="none"/>
        </w:tabs>
        <w:spacing w:lineRule="auto" w:line="240" w:before="0" w:after="0"/>
        <w:ind w:firstLine="709" w:left="0"/>
        <w:contextualSpacing/>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участник закупки (отбора Контрагентов) не соответствует требованиям, установленным настоящей конкурсной документацией; </w:t>
      </w:r>
    </w:p>
    <w:p>
      <w:pPr>
        <w:pStyle w:val="Normal"/>
        <w:numPr>
          <w:ilvl w:val="2"/>
          <w:numId w:val="1"/>
        </w:numPr>
        <w:tabs>
          <w:tab w:val="clear" w:pos="708"/>
          <w:tab w:val="left" w:pos="993" w:leader="none"/>
          <w:tab w:val="left" w:pos="1560" w:leader="none"/>
        </w:tabs>
        <w:spacing w:lineRule="auto" w:line="240" w:before="0" w:after="0"/>
        <w:ind w:firstLine="709" w:left="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участником закупки (отбора Контрагентов) документально не подтверждено соответствие критериям, установленным конкурсной документацией;</w:t>
      </w:r>
    </w:p>
    <w:p>
      <w:pPr>
        <w:pStyle w:val="Normal"/>
        <w:numPr>
          <w:ilvl w:val="2"/>
          <w:numId w:val="1"/>
        </w:numPr>
        <w:tabs>
          <w:tab w:val="clear" w:pos="708"/>
          <w:tab w:val="left" w:pos="993" w:leader="none"/>
          <w:tab w:val="left" w:pos="1560" w:leader="none"/>
        </w:tabs>
        <w:spacing w:lineRule="auto" w:line="240" w:before="0" w:after="0"/>
        <w:ind w:firstLine="709" w:left="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документы участника закупки (процедуры отбора Контрагентов) представлены не в полном объеме, не соответствуют требованиям конкурсной документации;</w:t>
      </w:r>
    </w:p>
    <w:p>
      <w:pPr>
        <w:pStyle w:val="Normal"/>
        <w:numPr>
          <w:ilvl w:val="2"/>
          <w:numId w:val="1"/>
        </w:numPr>
        <w:tabs>
          <w:tab w:val="clear" w:pos="708"/>
          <w:tab w:val="left" w:pos="993" w:leader="none"/>
        </w:tabs>
        <w:spacing w:lineRule="auto" w:line="240" w:before="0" w:after="0"/>
        <w:ind w:firstLine="709" w:left="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при проверке документов, представленных участником закупки (процедуры отбора Контрагентов), установлено (в том числе с использованием общедоступных источников), что сведения, содержащиеся в документах, не соответствуют действительности и/или являются противоречивыми.</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Договор по результатам конкурса заключается с победителем не позднее чем через 10 (десять) календарных дней с даты подписания протокола комиссией по осуществлению закупок.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Участники закупки, заявки которых были отклонены, уведомляются о результатах рассмотрения заявок в срок не позднее 10 (десяти) календарных дней со дня составления протокола комиссией по осуществлению закупок.</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Любой участник конкурса (процедуры отбора Контрагентов) вправе направить нарочно, электронной почтой (</w:t>
      </w:r>
      <w:r>
        <w:rPr>
          <w:rFonts w:cs="Times New Roman" w:ascii="Times New Roman" w:hAnsi="Times New Roman"/>
          <w:color w:val="000000"/>
          <w:sz w:val="24"/>
          <w:szCs w:val="24"/>
        </w:rPr>
        <w:t>uk.ikhakasii@yandex.ru</w:t>
      </w:r>
      <w:r>
        <w:rPr>
          <w:color w:val="000000"/>
          <w:sz w:val="26"/>
          <w:szCs w:val="26"/>
        </w:rPr>
        <w:t>)</w:t>
      </w:r>
      <w:r>
        <w:rPr>
          <w:rFonts w:eastAsia="Times New Roman" w:cs="Times New Roman" w:ascii="Times New Roman" w:hAnsi="Times New Roman"/>
          <w:sz w:val="24"/>
          <w:szCs w:val="24"/>
        </w:rPr>
        <w:t xml:space="preserve"> Заказчику в письменной форме, с указанием адреса электронной почты для обратной связи, запрос о даче разъяснений положений конкурсной документации.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 течение 3 (трех) рабочих дней с даты поступления запроса Заказчик осуществляет разъяснение положений конкурсной документации и направляет его участнику конкурса (процедуры отбора Контрагентов) на адрес электронной почты, указанный для обратной связи. </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Заказчик по собственной инициативе или в соответствии с запросом участника конкурса вправе принять решение о внесении изменений в конкурсную документацию.</w:t>
      </w:r>
    </w:p>
    <w:p>
      <w:pPr>
        <w:pStyle w:val="ListParagraph"/>
        <w:numPr>
          <w:ilvl w:val="1"/>
          <w:numId w:val="5"/>
        </w:numPr>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Изменения вносятся в течение 3 (трех) рабочих дней со дня принятия решения о внесении изменений. В случае внесения изменений в конкурсную документацию, срок подачи заявок на участие в конкурсе (отборе Контрагентов) должен быть продлен таким образом, чтобы с даты размещения на сайте указанных изменений до даты окончания срока подачи заявок оставалось не менее половины срока подачи заявок на участие в конкурсе, установленного изначально.     </w:t>
      </w:r>
    </w:p>
    <w:p>
      <w:pPr>
        <w:pStyle w:val="ListParagraph"/>
        <w:numPr>
          <w:ilvl w:val="1"/>
          <w:numId w:val="5"/>
        </w:numPr>
        <w:spacing w:lineRule="auto" w:line="240" w:before="0" w:after="0"/>
        <w:ind w:firstLine="709" w:left="0"/>
        <w:contextualSpacing/>
        <w:jc w:val="both"/>
        <w:rPr>
          <w:rFonts w:ascii="Times New Roman" w:hAnsi="Times New Roman" w:cs="Times New Roman"/>
          <w:b/>
          <w:bCs/>
        </w:rPr>
      </w:pPr>
      <w:r>
        <w:rPr>
          <w:rFonts w:eastAsia="Times New Roman" w:cs="Times New Roman" w:ascii="Times New Roman" w:hAnsi="Times New Roman"/>
          <w:sz w:val="24"/>
          <w:szCs w:val="24"/>
        </w:rPr>
        <w:t>Вся конкурсная документация для ознакомления, в том числе по предмету закупки, размещена на официальном сайте Заказчика</w:t>
      </w:r>
      <w:r>
        <w:rPr>
          <w:rFonts w:cs="Times New Roman" w:ascii="Times New Roman" w:hAnsi="Times New Roman"/>
          <w:sz w:val="24"/>
          <w:szCs w:val="24"/>
        </w:rPr>
        <w:t xml:space="preserve"> по адресу: </w:t>
      </w:r>
      <w:hyperlink r:id="rId3">
        <w:r>
          <w:rPr>
            <w:rStyle w:val="Hyperlink"/>
            <w:rFonts w:eastAsia="Times New Roman" w:cs="Times New Roman" w:ascii="Times New Roman" w:hAnsi="Times New Roman"/>
            <w:sz w:val="24"/>
            <w:szCs w:val="24"/>
          </w:rPr>
          <w:t>https://invest19.ru</w:t>
        </w:r>
      </w:hyperlink>
      <w:r>
        <w:rPr>
          <w:rStyle w:val="Hyperlink"/>
          <w:rFonts w:eastAsia="Times New Roman" w:cs="Times New Roman" w:ascii="Times New Roman" w:hAnsi="Times New Roman"/>
          <w:color w:themeColor="text1" w:val="000000"/>
          <w:sz w:val="24"/>
          <w:szCs w:val="24"/>
        </w:rPr>
        <w:t xml:space="preserve"> </w:t>
      </w:r>
      <w:r>
        <w:rPr>
          <w:rFonts w:cs="Times New Roman" w:ascii="Times New Roman" w:hAnsi="Times New Roman"/>
          <w:sz w:val="24"/>
          <w:szCs w:val="24"/>
        </w:rPr>
        <w:t xml:space="preserve">. </w:t>
      </w:r>
    </w:p>
    <w:p>
      <w:pPr>
        <w:pStyle w:val="ListParagraph"/>
        <w:spacing w:lineRule="auto" w:line="240" w:before="0" w:after="0"/>
        <w:ind w:left="709"/>
        <w:contextualSpacing/>
        <w:rPr>
          <w:rFonts w:ascii="Times New Roman" w:hAnsi="Times New Roman" w:cs="Times New Roman"/>
          <w:b/>
          <w:bCs/>
        </w:rPr>
      </w:pPr>
      <w:r>
        <w:rPr>
          <w:rFonts w:cs="Times New Roman" w:ascii="Times New Roman" w:hAnsi="Times New Roman"/>
          <w:b/>
          <w:bCs/>
        </w:rPr>
      </w:r>
    </w:p>
    <w:p>
      <w:pPr>
        <w:pStyle w:val="ListParagraph"/>
        <w:numPr>
          <w:ilvl w:val="0"/>
          <w:numId w:val="5"/>
        </w:numPr>
        <w:tabs>
          <w:tab w:val="clear" w:pos="708"/>
          <w:tab w:val="left" w:pos="1134" w:leader="none"/>
        </w:tabs>
        <w:spacing w:lineRule="auto" w:line="240" w:before="0" w:after="0"/>
        <w:ind w:firstLine="709" w:left="0"/>
        <w:contextualSpacing/>
        <w:jc w:val="center"/>
        <w:rPr>
          <w:rFonts w:ascii="Times New Roman" w:hAnsi="Times New Roman" w:cs="Times New Roman"/>
          <w:b/>
          <w:sz w:val="24"/>
          <w:szCs w:val="24"/>
        </w:rPr>
      </w:pPr>
      <w:r>
        <w:rPr>
          <w:rFonts w:cs="Times New Roman" w:ascii="Times New Roman" w:hAnsi="Times New Roman"/>
          <w:b/>
          <w:sz w:val="24"/>
          <w:szCs w:val="24"/>
        </w:rPr>
        <w:t>Требования к участникам конкурса (процедуры отбора Контрагентов):</w:t>
      </w:r>
    </w:p>
    <w:p>
      <w:pPr>
        <w:pStyle w:val="ListParagraph"/>
        <w:numPr>
          <w:ilvl w:val="1"/>
          <w:numId w:val="5"/>
        </w:numPr>
        <w:tabs>
          <w:tab w:val="clear" w:pos="708"/>
          <w:tab w:val="left" w:pos="354" w:leader="none"/>
          <w:tab w:val="left" w:pos="567" w:leader="none"/>
          <w:tab w:val="left" w:pos="1134" w:leader="none"/>
        </w:tabs>
        <w:spacing w:lineRule="auto" w:line="240" w:before="0" w:after="0"/>
        <w:ind w:firstLine="709" w:left="0"/>
        <w:contextualSpacing/>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На день подачи заявки:</w:t>
      </w:r>
    </w:p>
    <w:p>
      <w:pPr>
        <w:pStyle w:val="ListParagraph"/>
        <w:numPr>
          <w:ilvl w:val="2"/>
          <w:numId w:val="5"/>
        </w:numPr>
        <w:tabs>
          <w:tab w:val="clear" w:pos="708"/>
          <w:tab w:val="left" w:pos="354" w:leader="none"/>
          <w:tab w:val="left" w:pos="567" w:leader="none"/>
          <w:tab w:val="left" w:pos="709" w:leader="none"/>
          <w:tab w:val="left" w:pos="1134" w:leader="none"/>
        </w:tabs>
        <w:spacing w:lineRule="auto" w:line="240" w:before="0" w:after="0"/>
        <w:ind w:firstLine="709"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Быть правомочными на заключение договора в соответствии с действующим законодательством Российской Федерации. </w:t>
      </w:r>
    </w:p>
    <w:p>
      <w:pPr>
        <w:pStyle w:val="ListParagraph"/>
        <w:numPr>
          <w:ilvl w:val="2"/>
          <w:numId w:val="5"/>
        </w:numPr>
        <w:tabs>
          <w:tab w:val="clear" w:pos="708"/>
          <w:tab w:val="left" w:pos="0" w:leader="none"/>
          <w:tab w:val="left" w:pos="354" w:leader="none"/>
          <w:tab w:val="left" w:pos="426" w:leader="none"/>
          <w:tab w:val="left" w:pos="709" w:leader="none"/>
          <w:tab w:val="left" w:pos="1134" w:leader="none"/>
        </w:tabs>
        <w:spacing w:lineRule="auto" w:line="240" w:before="0" w:after="0"/>
        <w:ind w:firstLine="709" w:left="0"/>
        <w:contextualSpacing/>
        <w:jc w:val="both"/>
        <w:rPr>
          <w:color w:val="000000"/>
          <w:sz w:val="24"/>
          <w:szCs w:val="24"/>
        </w:rPr>
      </w:pPr>
      <w:r>
        <w:rPr>
          <w:rFonts w:eastAsia="Times New Roman" w:cs="Times New Roman" w:ascii="Times New Roman" w:hAnsi="Times New Roman"/>
          <w:color w:val="000000"/>
          <w:sz w:val="24"/>
          <w:szCs w:val="24"/>
        </w:rPr>
        <w:t xml:space="preserve">Соответствовать требованию (в отношении российского юридического лица) о не проведении ликвидации и отсутствии решения арбитражного суда (в отношении российского юридического лица, индивидуального предпринимателя) о признании банкротом и об открытии конкурсного производства. </w:t>
      </w:r>
    </w:p>
    <w:p>
      <w:pPr>
        <w:pStyle w:val="ListParagraph"/>
        <w:numPr>
          <w:ilvl w:val="2"/>
          <w:numId w:val="5"/>
        </w:numPr>
        <w:tabs>
          <w:tab w:val="clear" w:pos="708"/>
          <w:tab w:val="left" w:pos="354" w:leader="none"/>
          <w:tab w:val="left" w:pos="1134" w:leader="none"/>
          <w:tab w:val="left" w:pos="1560" w:leader="none"/>
        </w:tabs>
        <w:spacing w:lineRule="auto" w:line="240" w:before="0" w:after="0"/>
        <w:ind w:firstLine="709" w:left="0"/>
        <w:contextualSpacing/>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Соответствовать требованию (в отношении российского юридического лица) об отсутствии сведений в реестрах недобросовестных Контрагентов, предусмотренных Федеральным законом № 223-ФЗ от 18.07.2011 «О закупках товаров, работ, услуг отдельными видами юридических лиц» и (или) Федеральным законом от 05.04.2013 № 44-ФЗ «О контрактной системе в сфере закупок». </w:t>
      </w:r>
    </w:p>
    <w:p>
      <w:pPr>
        <w:pStyle w:val="ListParagraph"/>
        <w:numPr>
          <w:ilvl w:val="2"/>
          <w:numId w:val="5"/>
        </w:numPr>
        <w:tabs>
          <w:tab w:val="clear" w:pos="708"/>
          <w:tab w:val="left" w:pos="354" w:leader="none"/>
          <w:tab w:val="left" w:pos="426" w:leader="none"/>
          <w:tab w:val="left" w:pos="1134" w:leader="none"/>
          <w:tab w:val="left" w:pos="1418" w:leader="none"/>
          <w:tab w:val="left" w:pos="2400" w:leader="none"/>
          <w:tab w:val="left" w:pos="7655" w:leader="none"/>
          <w:tab w:val="left" w:pos="7797" w:leader="none"/>
        </w:tabs>
        <w:spacing w:lineRule="auto" w:line="240" w:before="0" w:after="0"/>
        <w:ind w:firstLine="709" w:left="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Отсутствие приостановления деятельности участника закупки (процедуры отбора Контрагентов) в порядке, предусмотренном Кодексом Российской Федерации об административных правонарушениях. </w:t>
      </w:r>
    </w:p>
    <w:p>
      <w:pPr>
        <w:pStyle w:val="ListParagraph"/>
        <w:numPr>
          <w:ilvl w:val="2"/>
          <w:numId w:val="5"/>
        </w:numPr>
        <w:tabs>
          <w:tab w:val="clear" w:pos="708"/>
          <w:tab w:val="left" w:pos="354" w:leader="none"/>
          <w:tab w:val="left" w:pos="426" w:leader="none"/>
          <w:tab w:val="left" w:pos="1134" w:leader="none"/>
          <w:tab w:val="left" w:pos="1418" w:leader="none"/>
          <w:tab w:val="left" w:pos="2400" w:leader="none"/>
          <w:tab w:val="left" w:pos="7655" w:leader="none"/>
          <w:tab w:val="left" w:pos="7797" w:leader="none"/>
        </w:tabs>
        <w:spacing w:lineRule="auto" w:line="240" w:before="0" w:after="0"/>
        <w:ind w:firstLine="709" w:left="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Не являться </w:t>
      </w:r>
      <w:r>
        <w:rPr>
          <w:rFonts w:cs="Times New Roman" w:ascii="Times New Roman" w:hAnsi="Times New Roman"/>
          <w:sz w:val="24"/>
          <w:szCs w:val="24"/>
        </w:rPr>
        <w:t>российским юридическим лицом, в уставном (складочном)  капитале которого доля прямого или косвенного (через третьих лиц)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превышает 25 процентов (если иное не предусмотрено законодательством Российской Федерации).</w:t>
      </w:r>
    </w:p>
    <w:p>
      <w:pPr>
        <w:pStyle w:val="ListParagraph"/>
        <w:numPr>
          <w:ilvl w:val="2"/>
          <w:numId w:val="5"/>
        </w:numPr>
        <w:tabs>
          <w:tab w:val="clear" w:pos="708"/>
          <w:tab w:val="left" w:pos="354" w:leader="none"/>
          <w:tab w:val="left" w:pos="426" w:leader="none"/>
          <w:tab w:val="left" w:pos="993" w:leader="none"/>
          <w:tab w:val="left" w:pos="1134" w:leader="none"/>
          <w:tab w:val="left" w:pos="1418" w:leader="none"/>
          <w:tab w:val="left" w:pos="2400" w:leader="none"/>
          <w:tab w:val="left" w:pos="7655" w:leader="none"/>
          <w:tab w:val="left" w:pos="7797" w:leader="none"/>
        </w:tabs>
        <w:ind w:firstLine="709" w:left="0"/>
        <w:jc w:val="both"/>
        <w:rPr>
          <w:rFonts w:ascii="Times New Roman" w:hAnsi="Times New Roman" w:cs="Times New Roman"/>
          <w:color w:val="000000"/>
          <w:sz w:val="24"/>
          <w:szCs w:val="24"/>
        </w:rPr>
      </w:pPr>
      <w:r>
        <w:rPr>
          <w:rFonts w:cs="Times New Roman" w:ascii="Times New Roman" w:hAnsi="Times New Roman"/>
          <w:color w:val="000000"/>
          <w:sz w:val="24"/>
          <w:szCs w:val="24"/>
        </w:rPr>
        <w:t>Не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p>
      <w:pPr>
        <w:pStyle w:val="ListParagraph"/>
        <w:numPr>
          <w:ilvl w:val="2"/>
          <w:numId w:val="5"/>
        </w:numPr>
        <w:tabs>
          <w:tab w:val="clear" w:pos="708"/>
          <w:tab w:val="left" w:pos="354" w:leader="none"/>
          <w:tab w:val="left" w:pos="426" w:leader="none"/>
          <w:tab w:val="left" w:pos="1134" w:leader="none"/>
          <w:tab w:val="left" w:pos="1418" w:leader="none"/>
          <w:tab w:val="left" w:pos="2400" w:leader="none"/>
          <w:tab w:val="left" w:pos="7655" w:leader="none"/>
          <w:tab w:val="left" w:pos="7797" w:leader="none"/>
        </w:tabs>
        <w:spacing w:lineRule="auto" w:line="240" w:before="0" w:after="0"/>
        <w:ind w:firstLine="709" w:left="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В реестре </w:t>
      </w:r>
      <w:r>
        <w:rPr>
          <w:rFonts w:cs="Times New Roman" w:ascii="Times New Roman" w:hAnsi="Times New Roman"/>
          <w:sz w:val="24"/>
          <w:szCs w:val="24"/>
        </w:rPr>
        <w:t>дисквалифицированных лиц отсутствуют сведения о дисквалифицированном руководителе участника отбора, являющегося юридическим лицом.</w:t>
      </w:r>
    </w:p>
    <w:p>
      <w:pPr>
        <w:pStyle w:val="ListParagraph"/>
        <w:numPr>
          <w:ilvl w:val="2"/>
          <w:numId w:val="5"/>
        </w:numPr>
        <w:tabs>
          <w:tab w:val="clear" w:pos="708"/>
          <w:tab w:val="left" w:pos="354" w:leader="none"/>
          <w:tab w:val="left" w:pos="426" w:leader="none"/>
          <w:tab w:val="left" w:pos="1134" w:leader="none"/>
        </w:tabs>
        <w:spacing w:lineRule="auto" w:line="240" w:before="0" w:after="0"/>
        <w:ind w:firstLine="709" w:left="0"/>
        <w:contextualSpacing/>
        <w:jc w:val="both"/>
        <w:rPr>
          <w:rFonts w:ascii="Times New Roman" w:hAnsi="Times New Roman" w:cs="Times New Roman"/>
          <w:sz w:val="24"/>
          <w:szCs w:val="24"/>
        </w:rPr>
      </w:pPr>
      <w:r>
        <w:rPr>
          <w:rFonts w:cs="Times New Roman" w:ascii="Times New Roman" w:hAnsi="Times New Roman"/>
          <w:color w:val="000000"/>
          <w:sz w:val="24"/>
          <w:szCs w:val="24"/>
        </w:rPr>
        <w:t xml:space="preserve">В реестре </w:t>
      </w:r>
      <w:r>
        <w:rPr>
          <w:rFonts w:cs="Times New Roman" w:ascii="Times New Roman" w:hAnsi="Times New Roman"/>
          <w:sz w:val="24"/>
          <w:szCs w:val="24"/>
        </w:rPr>
        <w:t>дисквалифицированных лиц отсутствуют сведения о дисквалифицированных членах коллегиального исполнительного органа участника отбора, являющегося юридическим лицом.</w:t>
      </w:r>
    </w:p>
    <w:p>
      <w:pPr>
        <w:pStyle w:val="ListParagraph"/>
        <w:numPr>
          <w:ilvl w:val="2"/>
          <w:numId w:val="5"/>
        </w:numPr>
        <w:tabs>
          <w:tab w:val="clear" w:pos="708"/>
          <w:tab w:val="left" w:pos="354" w:leader="none"/>
          <w:tab w:val="left" w:pos="426" w:leader="none"/>
          <w:tab w:val="left" w:pos="993" w:leader="none"/>
          <w:tab w:val="left" w:pos="1134" w:leader="none"/>
          <w:tab w:val="left" w:pos="1418" w:leader="none"/>
          <w:tab w:val="left" w:pos="2400" w:leader="none"/>
          <w:tab w:val="left" w:pos="7655" w:leader="none"/>
          <w:tab w:val="left" w:pos="7797" w:leader="none"/>
        </w:tabs>
        <w:ind w:firstLine="709" w:left="0"/>
        <w:jc w:val="both"/>
        <w:rPr>
          <w:rFonts w:ascii="Times New Roman" w:hAnsi="Times New Roman" w:cs="Times New Roman"/>
          <w:color w:val="000000"/>
          <w:sz w:val="24"/>
          <w:szCs w:val="24"/>
        </w:rPr>
      </w:pPr>
      <w:r>
        <w:rPr>
          <w:rFonts w:cs="Times New Roman" w:ascii="Times New Roman" w:hAnsi="Times New Roman"/>
          <w:color w:val="000000"/>
          <w:sz w:val="24"/>
          <w:szCs w:val="24"/>
        </w:rPr>
        <w:t>В реестре дисквалифицированных лиц отсутствуют сведения о дисквалифицированном главном бухгалтере участника отбора, являющегося юридическим лицом.</w:t>
      </w:r>
    </w:p>
    <w:p>
      <w:pPr>
        <w:pStyle w:val="ListParagraph"/>
        <w:numPr>
          <w:ilvl w:val="1"/>
          <w:numId w:val="5"/>
        </w:numPr>
        <w:tabs>
          <w:tab w:val="clear" w:pos="708"/>
          <w:tab w:val="left" w:pos="354" w:leader="none"/>
          <w:tab w:val="left" w:pos="426" w:leader="none"/>
          <w:tab w:val="left" w:pos="1134" w:leader="none"/>
          <w:tab w:val="left" w:pos="1418" w:leader="none"/>
          <w:tab w:val="left" w:pos="2400" w:leader="none"/>
          <w:tab w:val="left" w:pos="7655" w:leader="none"/>
          <w:tab w:val="left" w:pos="7797" w:leader="none"/>
        </w:tabs>
        <w:spacing w:lineRule="auto" w:line="240" w:before="0" w:after="0"/>
        <w:ind w:firstLine="709" w:left="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Отсутствие на едином налоговом счете или не превышение размера, определенного пунктом 3 статьи 47 НК РФ, задолженности по уплате налогов, сборов и страховых взносов в бюджеты бюджетной системы Российской Федерации.</w:t>
      </w:r>
    </w:p>
    <w:p>
      <w:pPr>
        <w:pStyle w:val="ListParagraph"/>
        <w:numPr>
          <w:ilvl w:val="1"/>
          <w:numId w:val="5"/>
        </w:numPr>
        <w:tabs>
          <w:tab w:val="clear" w:pos="708"/>
          <w:tab w:val="left" w:pos="354" w:leader="none"/>
          <w:tab w:val="left" w:pos="426" w:leader="none"/>
          <w:tab w:val="left" w:pos="1134" w:leader="none"/>
        </w:tabs>
        <w:spacing w:lineRule="auto" w:line="240" w:before="0" w:after="0"/>
        <w:ind w:firstLine="709" w:left="0"/>
        <w:contextualSpacing/>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Отсутствие действующих исполнительных производств, возбужденных в отношении Контрагента на сумму свыше 1 000 000,00 (одного миллиона) рублей, на день рассмотрения заявки Комиссией по осуществлению закупок. </w:t>
      </w:r>
    </w:p>
    <w:p>
      <w:pPr>
        <w:pStyle w:val="ListParagraph"/>
        <w:numPr>
          <w:ilvl w:val="1"/>
          <w:numId w:val="5"/>
        </w:numPr>
        <w:tabs>
          <w:tab w:val="clear" w:pos="708"/>
          <w:tab w:val="left" w:pos="354" w:leader="none"/>
          <w:tab w:val="left" w:pos="426" w:leader="none"/>
          <w:tab w:val="left" w:pos="1134" w:leader="none"/>
        </w:tabs>
        <w:spacing w:lineRule="auto" w:line="240" w:before="0" w:after="0"/>
        <w:ind w:firstLine="709"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Наличие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w:t>
      </w:r>
    </w:p>
    <w:p>
      <w:pPr>
        <w:pStyle w:val="ListParagraph"/>
        <w:numPr>
          <w:ilvl w:val="1"/>
          <w:numId w:val="5"/>
        </w:numPr>
        <w:tabs>
          <w:tab w:val="clear" w:pos="708"/>
          <w:tab w:val="left" w:pos="354" w:leader="none"/>
          <w:tab w:val="left" w:pos="426" w:leader="none"/>
          <w:tab w:val="left" w:pos="852" w:leader="none"/>
          <w:tab w:val="left" w:pos="1134" w:leader="none"/>
          <w:tab w:val="left" w:pos="1276" w:leader="none"/>
        </w:tabs>
        <w:spacing w:lineRule="auto" w:line="240" w:before="0" w:after="0"/>
        <w:ind w:firstLine="709" w:left="0"/>
        <w:contextualSpacing/>
        <w:jc w:val="both"/>
        <w:rPr>
          <w:rFonts w:ascii="Times New Roman" w:hAnsi="Times New Roman" w:cs="Times New Roman"/>
          <w:sz w:val="24"/>
          <w:szCs w:val="24"/>
        </w:rPr>
      </w:pPr>
      <w:r>
        <w:rPr>
          <w:rFonts w:cs="Times New Roman" w:ascii="Times New Roman" w:hAnsi="Times New Roman"/>
          <w:sz w:val="24"/>
          <w:szCs w:val="24"/>
        </w:rPr>
        <w:t xml:space="preserve">Перечень критериев для оценки участника закупки (отбора Контрагентов) и документов, предоставляемых для подтверждения соответствия критериям, определен в Приложении №2 к настоящей конкурсной документации.   </w:t>
      </w:r>
    </w:p>
    <w:p>
      <w:pPr>
        <w:pStyle w:val="ListParagraph"/>
        <w:numPr>
          <w:ilvl w:val="0"/>
          <w:numId w:val="5"/>
        </w:numPr>
        <w:tabs>
          <w:tab w:val="clear" w:pos="708"/>
          <w:tab w:val="left" w:pos="1134" w:leader="none"/>
        </w:tabs>
        <w:spacing w:lineRule="auto" w:line="240" w:before="0" w:after="0"/>
        <w:ind w:firstLine="709" w:left="0"/>
        <w:contextualSpacing/>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t>Сведения и документы, предоставляемые участником закупки (процедуры отбора Контрагентов):</w:t>
      </w:r>
    </w:p>
    <w:p>
      <w:pPr>
        <w:pStyle w:val="ListParagraph"/>
        <w:numPr>
          <w:ilvl w:val="1"/>
          <w:numId w:val="5"/>
        </w:numPr>
        <w:tabs>
          <w:tab w:val="clear" w:pos="708"/>
          <w:tab w:val="left" w:pos="993" w:leader="none"/>
          <w:tab w:val="left" w:pos="1134" w:leader="none"/>
        </w:tabs>
        <w:spacing w:lineRule="auto" w:line="240" w:before="0" w:after="0"/>
        <w:ind w:firstLine="709" w:left="0"/>
        <w:contextualSpacing/>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Заявка на участие в закупке (в процедуре отбора Контрагентов) по форме, определенной настоящей конкурсной документацией (Приложение №1), содержащая:</w:t>
      </w:r>
    </w:p>
    <w:p>
      <w:pPr>
        <w:pStyle w:val="Normal"/>
        <w:tabs>
          <w:tab w:val="clear" w:pos="708"/>
          <w:tab w:val="left" w:pos="1134" w:leader="none"/>
        </w:tabs>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1) </w:t>
      </w:r>
      <w:r>
        <w:rPr>
          <w:rFonts w:eastAsia="Times New Roman" w:cs="Times New Roman" w:ascii="Times New Roman" w:hAnsi="Times New Roman"/>
          <w:sz w:val="24"/>
          <w:szCs w:val="24"/>
        </w:rPr>
        <w:t>фирменное наименование юридического лица/Ф.И.О. индивидуального предпринимателя;</w:t>
      </w:r>
    </w:p>
    <w:p>
      <w:pPr>
        <w:pStyle w:val="Normal"/>
        <w:tabs>
          <w:tab w:val="clear" w:pos="708"/>
          <w:tab w:val="left" w:pos="1134" w:leader="none"/>
        </w:tabs>
        <w:spacing w:lineRule="auto" w:line="240" w:before="0" w:after="0"/>
        <w:ind w:firstLine="709"/>
        <w:jc w:val="both"/>
        <w:rPr>
          <w:rFonts w:ascii="Times New Roman" w:hAnsi="Times New Roman" w:eastAsia="Times New Roman" w:cs="Times New Roman"/>
          <w:sz w:val="24"/>
          <w:szCs w:val="24"/>
        </w:rPr>
      </w:pPr>
      <w:r>
        <w:rPr>
          <w:rFonts w:cs="Times New Roman" w:ascii="Times New Roman" w:hAnsi="Times New Roman"/>
        </w:rPr>
        <w:t>2)</w:t>
      </w:r>
      <w:r>
        <w:rPr/>
        <w:t xml:space="preserve"> </w:t>
      </w:r>
      <w:r>
        <w:rPr>
          <w:rFonts w:eastAsia="Times New Roman" w:cs="Times New Roman" w:ascii="Times New Roman" w:hAnsi="Times New Roman"/>
          <w:sz w:val="24"/>
          <w:szCs w:val="24"/>
        </w:rPr>
        <w:t>стоимость выполняемых работ, указанных в настоящей конкурсной документации;</w:t>
      </w:r>
    </w:p>
    <w:p>
      <w:pPr>
        <w:pStyle w:val="Normal"/>
        <w:tabs>
          <w:tab w:val="clear" w:pos="708"/>
          <w:tab w:val="left" w:pos="1134" w:leader="none"/>
        </w:tabs>
        <w:spacing w:lineRule="auto" w:line="240" w:before="0" w:after="0"/>
        <w:ind w:firstLine="709"/>
        <w:rPr/>
      </w:pPr>
      <w:r>
        <w:rPr>
          <w:rFonts w:eastAsia="Times New Roman" w:cs="Times New Roman" w:ascii="Times New Roman" w:hAnsi="Times New Roman"/>
          <w:sz w:val="24"/>
          <w:szCs w:val="24"/>
        </w:rPr>
        <w:t>3) иные сведения, содержащиеся в форме заявки.</w:t>
      </w:r>
    </w:p>
    <w:p>
      <w:pPr>
        <w:pStyle w:val="ListParagraph"/>
        <w:numPr>
          <w:ilvl w:val="1"/>
          <w:numId w:val="5"/>
        </w:numPr>
        <w:tabs>
          <w:tab w:val="clear" w:pos="708"/>
          <w:tab w:val="left" w:pos="993" w:leader="none"/>
          <w:tab w:val="left" w:pos="1134" w:leader="none"/>
        </w:tabs>
        <w:spacing w:lineRule="auto" w:line="240" w:before="0" w:after="0"/>
        <w:ind w:firstLine="709" w:left="0"/>
        <w:contextualSpacing/>
        <w:jc w:val="both"/>
        <w:rPr>
          <w:color w:val="000000"/>
        </w:rPr>
      </w:pPr>
      <w:r>
        <w:rPr>
          <w:rFonts w:eastAsia="Times New Roman" w:cs="Times New Roman" w:ascii="Times New Roman" w:hAnsi="Times New Roman"/>
          <w:color w:val="000000"/>
          <w:sz w:val="24"/>
          <w:szCs w:val="24"/>
        </w:rPr>
        <w:t>Карточка предприятия (юридического лица/индивидуального предпринимателя), содержащая фирменное наименование (наименование), ИНН, ОГРН, сведения об организационно-правовой форме, о месте нахождения (юридический адрес), почтовый адрес (для юридического лица), (фамилия, имя, отчество, паспортные данные, сведения о месте жительства (для индивидуального предпринимателя), номер контактного телефона.</w:t>
      </w:r>
    </w:p>
    <w:p>
      <w:pPr>
        <w:pStyle w:val="ListParagraph"/>
        <w:numPr>
          <w:ilvl w:val="1"/>
          <w:numId w:val="5"/>
        </w:numPr>
        <w:tabs>
          <w:tab w:val="clear" w:pos="708"/>
          <w:tab w:val="left" w:pos="993" w:leader="none"/>
          <w:tab w:val="left" w:pos="1134" w:leader="none"/>
        </w:tabs>
        <w:spacing w:lineRule="auto" w:line="240" w:before="0" w:after="0"/>
        <w:ind w:firstLine="709" w:left="0"/>
        <w:contextualSpacing/>
        <w:jc w:val="both"/>
        <w:rPr>
          <w:color w:val="000000"/>
        </w:rPr>
      </w:pPr>
      <w:r>
        <w:rPr>
          <w:rFonts w:eastAsia="Times New Roman" w:cs="Times New Roman" w:ascii="Times New Roman" w:hAnsi="Times New Roman"/>
          <w:color w:val="000000"/>
          <w:sz w:val="24"/>
          <w:szCs w:val="24"/>
        </w:rPr>
        <w:t xml:space="preserve">Копии документов, удостоверяющих личность физических лиц и граждан, осуществляющих предпринимательскую деятельность без образования юридического лица. </w:t>
      </w:r>
    </w:p>
    <w:p>
      <w:pPr>
        <w:pStyle w:val="Normal"/>
        <w:tabs>
          <w:tab w:val="clear" w:pos="708"/>
          <w:tab w:val="left" w:pos="993" w:leader="none"/>
          <w:tab w:val="left" w:pos="1134" w:leader="none"/>
        </w:tabs>
        <w:spacing w:lineRule="auto" w:line="240" w:before="0" w:after="0"/>
        <w:ind w:firstLine="709"/>
        <w:jc w:val="both"/>
        <w:rPr>
          <w:color w:val="000000"/>
        </w:rPr>
      </w:pPr>
      <w:r>
        <w:rPr>
          <w:rFonts w:eastAsia="Times New Roman" w:cs="Times New Roman" w:ascii="Times New Roman" w:hAnsi="Times New Roman"/>
          <w:color w:val="000000"/>
          <w:sz w:val="24"/>
          <w:szCs w:val="24"/>
        </w:rPr>
        <w:t xml:space="preserve">7.4. Документ, подтверждающий полномочия лица на осуществление действий от имени участника отбора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процедуры отбора действует иное лицо, в составе документов должна содержаться доверенность на осуществление действий от имени участника отбора, заверенная печатью участника отбора (для юридических лиц) и подписанную руководителем участника отбора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отбора, в составе документов на участие в отборе должен быть приложен документ, подтверждающий полномочия такого лица. </w:t>
      </w:r>
    </w:p>
    <w:p>
      <w:pPr>
        <w:pStyle w:val="Normal"/>
        <w:tabs>
          <w:tab w:val="clear" w:pos="708"/>
          <w:tab w:val="left" w:pos="1134" w:leader="none"/>
          <w:tab w:val="left" w:pos="1418" w:leader="none"/>
        </w:tabs>
        <w:spacing w:lineRule="auto" w:line="240" w:before="0" w:after="0"/>
        <w:ind w:firstLine="709"/>
        <w:jc w:val="both"/>
        <w:rPr>
          <w:color w:val="000000"/>
        </w:rPr>
      </w:pPr>
      <w:r>
        <w:rPr>
          <w:rFonts w:eastAsia="Times New Roman" w:cs="Times New Roman" w:ascii="Times New Roman" w:hAnsi="Times New Roman"/>
          <w:color w:val="000000"/>
          <w:sz w:val="24"/>
          <w:szCs w:val="24"/>
        </w:rPr>
        <w:t>7.5. Решение об одобрении или совершении крупной сделки (для юридических лиц), либо соответствующее гарантийное письмо, подтверждающее, что сделка не является крупной или одобрение не требуется в соответствии с законодательством (в случае, если единственный учредитель (участник) юридического лица является его исполнительным органом, решение об одобрении или совершении крупной сделки либо справка не требуются).</w:t>
      </w:r>
    </w:p>
    <w:p>
      <w:pPr>
        <w:pStyle w:val="Normal"/>
        <w:tabs>
          <w:tab w:val="clear" w:pos="708"/>
          <w:tab w:val="left" w:pos="1134" w:leader="none"/>
          <w:tab w:val="left" w:pos="1418"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7.6. Справка об исполнении обязанностей по уплате налогов (форма КНД 1120101) и справка о сальдо единого налогового счета (форма КНД 1160082 (ЕНС)) не позднее 10 (десяти) календарных дней до даты подачи заявки. </w:t>
      </w:r>
    </w:p>
    <w:p>
      <w:pPr>
        <w:pStyle w:val="Normal"/>
        <w:tabs>
          <w:tab w:val="clear" w:pos="708"/>
          <w:tab w:val="left" w:pos="1134" w:leader="none"/>
          <w:tab w:val="left" w:pos="1418" w:leader="none"/>
        </w:tabs>
        <w:spacing w:lineRule="auto" w:line="240" w:before="0" w:after="0"/>
        <w:ind w:firstLine="709"/>
        <w:jc w:val="both"/>
        <w:rPr>
          <w:color w:val="000000"/>
        </w:rPr>
      </w:pPr>
      <w:r>
        <w:rPr>
          <w:rFonts w:eastAsia="Times New Roman" w:cs="Times New Roman" w:ascii="Times New Roman" w:hAnsi="Times New Roman"/>
          <w:color w:val="000000"/>
          <w:sz w:val="24"/>
          <w:szCs w:val="24"/>
        </w:rPr>
        <w:t xml:space="preserve">7.7. Копии документов, указанных в Приложении №2 настоящей конкурсной документации, подтверждающих соответствие Контрагента критериям, определенным Приложением №2, настоящей конкурсной документации.  </w:t>
      </w:r>
    </w:p>
    <w:p>
      <w:pPr>
        <w:pStyle w:val="Normal"/>
        <w:tabs>
          <w:tab w:val="clear" w:pos="708"/>
          <w:tab w:val="left" w:pos="1134" w:leader="none"/>
          <w:tab w:val="left" w:pos="1276"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7.8. Копия лицензии, выданная подрядной организации на </w:t>
      </w:r>
      <w:r>
        <w:rPr>
          <w:rFonts w:cs="Times New Roman" w:ascii="Times New Roman" w:hAnsi="Times New Roman"/>
          <w:color w:themeColor="text1" w:val="000000"/>
          <w:sz w:val="24"/>
          <w:szCs w:val="24"/>
        </w:rPr>
        <w:t>осуществление деятельности по монтажу, техническому обслуживанию и ремонту средств обеспечения пожарной безопасности зданий и сооружений</w:t>
      </w:r>
      <w:r>
        <w:rPr>
          <w:rFonts w:eastAsia="Times New Roman" w:cs="Times New Roman" w:ascii="Times New Roman" w:hAnsi="Times New Roman"/>
          <w:color w:val="000000"/>
          <w:sz w:val="24"/>
          <w:szCs w:val="24"/>
        </w:rPr>
        <w:t xml:space="preserve">. При привлечении к выполнению работ по установке противопожарных дверей третьих лиц - копию договора на производство монтажных работ (длящегося (действующего) на любые объекты либо на объект, определенный конкурсной документацией), копию договора о намерениях на производство монтажных работ противопожарных дверей, указанных в настоящей конкурсной документации, с приложением копии лицензии МЧС третьего лица, планируемого к привлечению для выполнения монтажных работ. </w:t>
      </w:r>
    </w:p>
    <w:p>
      <w:pPr>
        <w:pStyle w:val="ListParagraph"/>
        <w:numPr>
          <w:ilvl w:val="0"/>
          <w:numId w:val="6"/>
        </w:numPr>
        <w:tabs>
          <w:tab w:val="clear" w:pos="708"/>
          <w:tab w:val="left" w:pos="1134" w:leader="none"/>
          <w:tab w:val="left" w:pos="1276" w:leader="none"/>
        </w:tabs>
        <w:spacing w:lineRule="auto" w:line="240" w:before="0" w:after="0"/>
        <w:ind w:firstLine="709" w:left="0"/>
        <w:contextualSpacing/>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Требования к предмету закупки, видам работ </w:t>
      </w:r>
      <w:r>
        <w:rPr>
          <w:rFonts w:eastAsia="Times New Roman" w:cs="Times New Roman" w:ascii="Times New Roman" w:hAnsi="Times New Roman"/>
          <w:color w:val="000000"/>
          <w:sz w:val="24"/>
          <w:szCs w:val="24"/>
        </w:rPr>
        <w:t>определены в Техническом задании</w:t>
      </w:r>
      <w:r>
        <w:rPr>
          <w:rFonts w:eastAsia="Times New Roman" w:cs="Times New Roman" w:ascii="Times New Roman" w:hAnsi="Times New Roman"/>
          <w:color w:themeColor="text1" w:val="000000"/>
          <w:sz w:val="24"/>
          <w:szCs w:val="24"/>
        </w:rPr>
        <w:t>, Ведомости объемов работ</w:t>
      </w:r>
      <w:r>
        <w:rPr>
          <w:rFonts w:eastAsia="Times New Roman" w:cs="Times New Roman" w:ascii="Times New Roman" w:hAnsi="Times New Roman"/>
          <w:color w:val="000000"/>
          <w:sz w:val="24"/>
          <w:szCs w:val="24"/>
        </w:rPr>
        <w:t xml:space="preserve">, выкопировке из Проектной документации «Агропромышленный парк «Черногорский» (Приложение №3, Приложение №4, Приложение №5 к настоящей конкурсной документации). </w:t>
      </w:r>
    </w:p>
    <w:p>
      <w:pPr>
        <w:pStyle w:val="ListParagraph"/>
        <w:numPr>
          <w:ilvl w:val="0"/>
          <w:numId w:val="6"/>
        </w:numPr>
        <w:tabs>
          <w:tab w:val="clear" w:pos="708"/>
          <w:tab w:val="left" w:pos="1134" w:leader="none"/>
          <w:tab w:val="left" w:pos="1276" w:leader="none"/>
        </w:tabs>
        <w:spacing w:lineRule="auto" w:line="240" w:before="0" w:after="0"/>
        <w:ind w:firstLine="567" w:left="142"/>
        <w:contextualSpacing/>
        <w:jc w:val="both"/>
        <w:rPr>
          <w:rFonts w:ascii="Times New Roman" w:hAnsi="Times New Roman" w:cs="Times New Roman"/>
          <w:sz w:val="24"/>
          <w:szCs w:val="24"/>
        </w:rPr>
      </w:pPr>
      <w:r>
        <w:rPr>
          <w:rFonts w:eastAsia="Times New Roman" w:cs="Times New Roman" w:ascii="Times New Roman" w:hAnsi="Times New Roman"/>
          <w:b/>
          <w:color w:val="000000"/>
          <w:sz w:val="24"/>
          <w:szCs w:val="24"/>
        </w:rPr>
        <w:t>Форма договора,</w:t>
      </w:r>
      <w:r>
        <w:rPr>
          <w:rFonts w:eastAsia="Times New Roman" w:cs="Times New Roman" w:ascii="Times New Roman" w:hAnsi="Times New Roman"/>
          <w:color w:val="000000"/>
          <w:sz w:val="24"/>
          <w:szCs w:val="24"/>
        </w:rPr>
        <w:t xml:space="preserve"> заключаемого по результатам конкурса с победителем процедуры закупки (отбора Контрагентов), является Приложением №6 к настоящей конкурсной документации.  </w:t>
      </w:r>
    </w:p>
    <w:p>
      <w:pPr>
        <w:pStyle w:val="ListParagraph"/>
        <w:numPr>
          <w:ilvl w:val="0"/>
          <w:numId w:val="6"/>
        </w:numPr>
        <w:tabs>
          <w:tab w:val="clear" w:pos="708"/>
          <w:tab w:val="left" w:pos="993" w:leader="none"/>
        </w:tabs>
        <w:ind w:firstLine="709" w:left="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Максимальная цена договора </w:t>
      </w:r>
      <w:r>
        <w:rPr>
          <w:rFonts w:eastAsia="Times New Roman" w:cs="Times New Roman" w:ascii="Times New Roman" w:hAnsi="Times New Roman"/>
          <w:color w:val="000000"/>
          <w:sz w:val="24"/>
          <w:szCs w:val="24"/>
        </w:rPr>
        <w:t>с учетом применяемой системы налогообложения определена в Сметах - Приложение №7</w:t>
      </w:r>
      <w:r>
        <w:rPr/>
        <w:t xml:space="preserve"> </w:t>
      </w:r>
      <w:r>
        <w:rPr>
          <w:rFonts w:eastAsia="Times New Roman" w:cs="Times New Roman" w:ascii="Times New Roman" w:hAnsi="Times New Roman"/>
          <w:color w:val="000000"/>
          <w:sz w:val="24"/>
          <w:szCs w:val="24"/>
        </w:rPr>
        <w:t xml:space="preserve">к настоящей конкурсной документации.  </w:t>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Приложение №1 к конкурсной </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документации на право заключения договора </w:t>
      </w:r>
    </w:p>
    <w:p>
      <w:pPr>
        <w:pStyle w:val="Normal"/>
        <w:spacing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 изготовление, поставку и монтаж дверей промышленной серии охлаждаемых помещений строящегося</w:t>
      </w:r>
    </w:p>
    <w:p>
      <w:pPr>
        <w:pStyle w:val="Normal"/>
        <w:spacing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объекта капитального строительства «Агропромышленный парк «Черногорский»  </w:t>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rPr>
          <w:rFonts w:ascii="Times New Roman" w:hAnsi="Times New Roman" w:cs="Times New Roman"/>
          <w:b/>
          <w:i/>
          <w:i/>
          <w:color w:val="000000"/>
          <w:sz w:val="24"/>
          <w:szCs w:val="24"/>
        </w:rPr>
      </w:pPr>
      <w:r>
        <w:rPr>
          <w:rFonts w:cs="Times New Roman" w:ascii="Times New Roman" w:hAnsi="Times New Roman"/>
          <w:b/>
          <w:i/>
          <w:color w:val="000000"/>
          <w:sz w:val="24"/>
          <w:szCs w:val="24"/>
        </w:rPr>
      </w:r>
      <w:r>
        <mc:AlternateContent>
          <mc:Choice Requires="wps">
            <w:drawing>
              <wp:anchor behindDoc="0" distT="0" distB="0" distL="0" distR="0" simplePos="0" locked="0" layoutInCell="1" allowOverlap="1" relativeHeight="3">
                <wp:simplePos x="0" y="0"/>
                <wp:positionH relativeFrom="column">
                  <wp:posOffset>3210560</wp:posOffset>
                </wp:positionH>
                <wp:positionV relativeFrom="paragraph">
                  <wp:posOffset>30480</wp:posOffset>
                </wp:positionV>
                <wp:extent cx="2806700" cy="1012190"/>
                <wp:effectExtent l="0" t="0" r="0" b="0"/>
                <wp:wrapNone/>
                <wp:docPr id="1" name="Врезка1"/>
                <a:graphic xmlns:a="http://schemas.openxmlformats.org/drawingml/2006/main">
                  <a:graphicData uri="http://schemas.microsoft.com/office/word/2010/wordprocessingShape">
                    <wps:wsp>
                      <wps:cNvSpPr txBox="1"/>
                      <wps:spPr>
                        <a:xfrm>
                          <a:off x="0" y="0"/>
                          <a:ext cx="2806700" cy="1012190"/>
                        </a:xfrm>
                        <a:prstGeom prst="rect"/>
                        <a:solidFill>
                          <a:srgbClr val="FFFFFF"/>
                        </a:solidFill>
                        <a:ln w="12700">
                          <a:solidFill>
                            <a:srgbClr val="4BACC6"/>
                          </a:solidFill>
                          <a:prstDash val="dash"/>
                        </a:ln>
                      </wps:spPr>
                      <wps:txbx>
                        <w:txbxContent>
                          <w:p>
                            <w:pPr>
                              <w:pStyle w:val="Style23"/>
                              <w:spacing w:lineRule="auto" w:line="240" w:before="0" w:after="0"/>
                              <w:contextualSpacing/>
                              <w:jc w:val="both"/>
                              <w:rPr>
                                <w:rFonts w:ascii="Times New Roman" w:hAnsi="Times New Roman" w:cs="Times New Roman"/>
                              </w:rPr>
                            </w:pPr>
                            <w:r>
                              <w:rPr>
                                <w:rFonts w:cs="Times New Roman" w:ascii="Times New Roman" w:hAnsi="Times New Roman"/>
                              </w:rPr>
                              <w:t xml:space="preserve">Директору общества с ограниченной ответственностью «Управляющая компания Инфраструктура Хакасии»  Паулю Денису Анатольевичу </w:t>
                            </w:r>
                          </w:p>
                          <w:p>
                            <w:pPr>
                              <w:pStyle w:val="Style23"/>
                              <w:spacing w:lineRule="auto" w:line="240" w:before="0" w:after="0"/>
                              <w:contextualSpacing/>
                              <w:jc w:val="both"/>
                              <w:rPr>
                                <w:rFonts w:ascii="Times New Roman" w:hAnsi="Times New Roman" w:cs="Times New Roman"/>
                              </w:rPr>
                            </w:pPr>
                            <w:r>
                              <w:rPr>
                                <w:rFonts w:cs="Times New Roman" w:ascii="Times New Roman" w:hAnsi="Times New Roman"/>
                              </w:rPr>
                              <w:t xml:space="preserve">г. Абакан, ул. Крылова, 47А, 2 эт., каб. 208 </w:t>
                            </w:r>
                          </w:p>
                          <w:p>
                            <w:pPr>
                              <w:pStyle w:val="Style23"/>
                              <w:spacing w:before="0" w:after="160"/>
                              <w:jc w:val="both"/>
                              <w:rPr/>
                            </w:pPr>
                            <w:r>
                              <w:rPr/>
                            </w:r>
                          </w:p>
                        </w:txbxContent>
                      </wps:txbx>
                      <wps:bodyPr anchor="t" lIns="91440" tIns="45720" rIns="91440" bIns="45720">
                        <a:noAutofit/>
                      </wps:bodyPr>
                    </wps:wsp>
                  </a:graphicData>
                </a:graphic>
              </wp:anchor>
            </w:drawing>
          </mc:Choice>
          <mc:Fallback>
            <w:pict>
              <v:rect fillcolor="#FFFFFF" strokecolor="#4BACC6" strokeweight="1pt" style="position:absolute;rotation:-0;width:221pt;height:79.7pt;mso-wrap-distance-left:0pt;mso-wrap-distance-right:0pt;mso-wrap-distance-top:0pt;mso-wrap-distance-bottom:0pt;margin-top:2.4pt;mso-position-vertical-relative:text;margin-left:252.8pt;mso-position-horizontal-relative:text">
                <v:stroke dashstyle="dash"/>
                <v:textbox>
                  <w:txbxContent>
                    <w:p>
                      <w:pPr>
                        <w:pStyle w:val="Style23"/>
                        <w:spacing w:lineRule="auto" w:line="240" w:before="0" w:after="0"/>
                        <w:contextualSpacing/>
                        <w:jc w:val="both"/>
                        <w:rPr>
                          <w:rFonts w:ascii="Times New Roman" w:hAnsi="Times New Roman" w:cs="Times New Roman"/>
                        </w:rPr>
                      </w:pPr>
                      <w:r>
                        <w:rPr>
                          <w:rFonts w:cs="Times New Roman" w:ascii="Times New Roman" w:hAnsi="Times New Roman"/>
                        </w:rPr>
                        <w:t xml:space="preserve">Директору общества с ограниченной ответственностью «Управляющая компания Инфраструктура Хакасии»  Паулю Денису Анатольевичу </w:t>
                      </w:r>
                    </w:p>
                    <w:p>
                      <w:pPr>
                        <w:pStyle w:val="Style23"/>
                        <w:spacing w:lineRule="auto" w:line="240" w:before="0" w:after="0"/>
                        <w:contextualSpacing/>
                        <w:jc w:val="both"/>
                        <w:rPr>
                          <w:rFonts w:ascii="Times New Roman" w:hAnsi="Times New Roman" w:cs="Times New Roman"/>
                        </w:rPr>
                      </w:pPr>
                      <w:r>
                        <w:rPr>
                          <w:rFonts w:cs="Times New Roman" w:ascii="Times New Roman" w:hAnsi="Times New Roman"/>
                        </w:rPr>
                        <w:t xml:space="preserve">г. Абакан, ул. Крылова, 47А, 2 эт., каб. 208 </w:t>
                      </w:r>
                    </w:p>
                    <w:p>
                      <w:pPr>
                        <w:pStyle w:val="Style23"/>
                        <w:spacing w:before="0" w:after="160"/>
                        <w:jc w:val="both"/>
                        <w:rPr/>
                      </w:pPr>
                      <w:r>
                        <w:rPr/>
                      </w:r>
                    </w:p>
                  </w:txbxContent>
                </v:textbox>
                <w10:wrap type="none"/>
              </v:rect>
            </w:pict>
          </mc:Fallback>
        </mc:AlternateContent>
      </w:r>
    </w:p>
    <w:p>
      <w:pPr>
        <w:pStyle w:val="Normal"/>
        <w:spacing w:lineRule="auto" w:line="240" w:before="0" w:after="0"/>
        <w:ind w:firstLine="570"/>
        <w:contextualSpacing/>
        <w:rPr>
          <w:rFonts w:ascii="Times New Roman" w:hAnsi="Times New Roman" w:cs="Times New Roman"/>
          <w:b/>
          <w:color w:val="000000"/>
          <w:sz w:val="24"/>
          <w:szCs w:val="24"/>
        </w:rPr>
      </w:pPr>
      <w:r>
        <w:rPr>
          <w:rFonts w:cs="Times New Roman" w:ascii="Times New Roman" w:hAnsi="Times New Roman"/>
          <w:b/>
          <w:color w:val="000000"/>
          <w:sz w:val="24"/>
          <w:szCs w:val="24"/>
        </w:rPr>
      </w:r>
      <w:r>
        <mc:AlternateContent>
          <mc:Choice Requires="wps">
            <w:drawing>
              <wp:anchor behindDoc="0" distT="0" distB="0" distL="0" distR="0" simplePos="0" locked="0" layoutInCell="1" allowOverlap="1" relativeHeight="2">
                <wp:simplePos x="0" y="0"/>
                <wp:positionH relativeFrom="column">
                  <wp:posOffset>-80010</wp:posOffset>
                </wp:positionH>
                <wp:positionV relativeFrom="paragraph">
                  <wp:posOffset>85090</wp:posOffset>
                </wp:positionV>
                <wp:extent cx="2581275" cy="623570"/>
                <wp:effectExtent l="0" t="0" r="0" b="0"/>
                <wp:wrapNone/>
                <wp:docPr id="2" name="Врезка2"/>
                <a:graphic xmlns:a="http://schemas.openxmlformats.org/drawingml/2006/main">
                  <a:graphicData uri="http://schemas.microsoft.com/office/word/2010/wordprocessingShape">
                    <wps:wsp>
                      <wps:cNvSpPr txBox="1"/>
                      <wps:spPr>
                        <a:xfrm>
                          <a:off x="0" y="0"/>
                          <a:ext cx="2581275" cy="623570"/>
                        </a:xfrm>
                        <a:prstGeom prst="rect"/>
                        <a:solidFill>
                          <a:srgbClr val="FFFFFF"/>
                        </a:solidFill>
                        <a:ln w="12700">
                          <a:solidFill>
                            <a:srgbClr val="4F81BD"/>
                          </a:solidFill>
                          <a:prstDash val="dash"/>
                        </a:ln>
                      </wps:spPr>
                      <wps:txbx>
                        <w:txbxContent>
                          <w:p>
                            <w:pPr>
                              <w:pStyle w:val="Style23"/>
                              <w:spacing w:lineRule="auto" w:line="240" w:before="0" w:after="0"/>
                              <w:contextualSpacing/>
                              <w:rPr>
                                <w:rFonts w:ascii="Times New Roman" w:hAnsi="Times New Roman" w:cs="Times New Roman"/>
                              </w:rPr>
                            </w:pPr>
                            <w:r>
                              <w:rPr>
                                <w:rFonts w:cs="Times New Roman" w:ascii="Times New Roman" w:hAnsi="Times New Roman"/>
                              </w:rPr>
                              <w:t xml:space="preserve">На бланке организации </w:t>
                            </w:r>
                            <w:r>
                              <w:rPr>
                                <w:rFonts w:cs="Times New Roman" w:ascii="Times New Roman" w:hAnsi="Times New Roman"/>
                                <w:i/>
                              </w:rPr>
                              <w:t>(при наличии)</w:t>
                            </w:r>
                          </w:p>
                          <w:p>
                            <w:pPr>
                              <w:pStyle w:val="Style23"/>
                              <w:spacing w:lineRule="auto" w:line="240" w:before="0" w:after="0"/>
                              <w:contextualSpacing/>
                              <w:rPr>
                                <w:rFonts w:ascii="Times New Roman" w:hAnsi="Times New Roman" w:cs="Times New Roman"/>
                              </w:rPr>
                            </w:pPr>
                            <w:r>
                              <w:rPr>
                                <w:rFonts w:cs="Times New Roman" w:ascii="Times New Roman" w:hAnsi="Times New Roman"/>
                              </w:rPr>
                              <w:t>дата, исх. №</w:t>
                            </w:r>
                          </w:p>
                        </w:txbxContent>
                      </wps:txbx>
                      <wps:bodyPr anchor="t" lIns="91440" tIns="45720" rIns="91440" bIns="45720">
                        <a:noAutofit/>
                      </wps:bodyPr>
                    </wps:wsp>
                  </a:graphicData>
                </a:graphic>
              </wp:anchor>
            </w:drawing>
          </mc:Choice>
          <mc:Fallback>
            <w:pict>
              <v:rect fillcolor="#FFFFFF" strokecolor="#4F81BD" strokeweight="1pt" style="position:absolute;rotation:-0;width:203.25pt;height:49.1pt;mso-wrap-distance-left:0pt;mso-wrap-distance-right:0pt;mso-wrap-distance-top:0pt;mso-wrap-distance-bottom:0pt;margin-top:6.7pt;mso-position-vertical-relative:text;margin-left:-6.3pt;mso-position-horizontal-relative:text">
                <v:stroke dashstyle="dash"/>
                <v:textbox>
                  <w:txbxContent>
                    <w:p>
                      <w:pPr>
                        <w:pStyle w:val="Style23"/>
                        <w:spacing w:lineRule="auto" w:line="240" w:before="0" w:after="0"/>
                        <w:contextualSpacing/>
                        <w:rPr>
                          <w:rFonts w:ascii="Times New Roman" w:hAnsi="Times New Roman" w:cs="Times New Roman"/>
                        </w:rPr>
                      </w:pPr>
                      <w:r>
                        <w:rPr>
                          <w:rFonts w:cs="Times New Roman" w:ascii="Times New Roman" w:hAnsi="Times New Roman"/>
                        </w:rPr>
                        <w:t xml:space="preserve">На бланке организации </w:t>
                      </w:r>
                      <w:r>
                        <w:rPr>
                          <w:rFonts w:cs="Times New Roman" w:ascii="Times New Roman" w:hAnsi="Times New Roman"/>
                          <w:i/>
                        </w:rPr>
                        <w:t>(при наличии)</w:t>
                      </w:r>
                    </w:p>
                    <w:p>
                      <w:pPr>
                        <w:pStyle w:val="Style23"/>
                        <w:spacing w:lineRule="auto" w:line="240" w:before="0" w:after="0"/>
                        <w:contextualSpacing/>
                        <w:rPr>
                          <w:rFonts w:ascii="Times New Roman" w:hAnsi="Times New Roman" w:cs="Times New Roman"/>
                        </w:rPr>
                      </w:pPr>
                      <w:r>
                        <w:rPr>
                          <w:rFonts w:cs="Times New Roman" w:ascii="Times New Roman" w:hAnsi="Times New Roman"/>
                        </w:rPr>
                        <w:t>дата, исх. №</w:t>
                      </w:r>
                    </w:p>
                  </w:txbxContent>
                </v:textbox>
                <w10:wrap type="none"/>
              </v:rect>
            </w:pict>
          </mc:Fallback>
        </mc:AlternateContent>
      </w:r>
    </w:p>
    <w:p>
      <w:pPr>
        <w:pStyle w:val="Normal"/>
        <w:spacing w:lineRule="auto" w:line="240" w:before="0" w:after="0"/>
        <w:ind w:firstLine="570"/>
        <w:contextualSpacing/>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spacing w:lineRule="auto" w:line="240" w:before="0" w:after="0"/>
        <w:ind w:firstLine="570"/>
        <w:contextualSpacing/>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spacing w:lineRule="auto" w:line="240" w:before="0" w:after="0"/>
        <w:ind w:firstLine="570"/>
        <w:contextualSpacing/>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spacing w:lineRule="auto" w:line="240" w:before="0" w:after="0"/>
        <w:ind w:firstLine="570"/>
        <w:contextualSpacing/>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spacing w:lineRule="auto" w:line="240" w:before="0" w:after="0"/>
        <w:ind w:firstLine="570"/>
        <w:contextualSpacing/>
        <w:jc w:val="center"/>
        <w:rPr>
          <w:rFonts w:ascii="Times New Roman" w:hAnsi="Times New Roman" w:cs="Times New Roman"/>
          <w:b/>
          <w:color w:val="000000"/>
          <w:sz w:val="24"/>
          <w:szCs w:val="24"/>
        </w:rPr>
      </w:pPr>
      <w:r>
        <w:rPr>
          <w:rFonts w:cs="Times New Roman" w:ascii="Times New Roman" w:hAnsi="Times New Roman"/>
          <w:b/>
          <w:color w:val="000000"/>
          <w:sz w:val="24"/>
          <w:szCs w:val="24"/>
        </w:rPr>
        <w:t xml:space="preserve">ЗАЯВКА </w:t>
      </w:r>
    </w:p>
    <w:p>
      <w:pPr>
        <w:pStyle w:val="Normal"/>
        <w:jc w:val="center"/>
        <w:rPr>
          <w:rFonts w:ascii="Times New Roman" w:hAnsi="Times New Roman" w:cs="Times New Roman"/>
          <w:sz w:val="24"/>
          <w:szCs w:val="24"/>
        </w:rPr>
      </w:pPr>
      <w:r>
        <w:rPr>
          <w:rFonts w:cs="Times New Roman" w:ascii="Times New Roman" w:hAnsi="Times New Roman"/>
          <w:b/>
          <w:i/>
          <w:color w:val="000000"/>
          <w:sz w:val="24"/>
          <w:szCs w:val="24"/>
        </w:rPr>
        <w:t xml:space="preserve">на участие в конкурсе </w:t>
      </w:r>
      <w:r>
        <w:rPr>
          <w:rFonts w:cs="Times New Roman" w:ascii="Times New Roman" w:hAnsi="Times New Roman"/>
          <w:b/>
          <w:i/>
          <w:sz w:val="24"/>
          <w:szCs w:val="24"/>
        </w:rPr>
        <w:t>на право заключения договора на изготовление, поставку и монтаж дверей охлаждаемых помещений строящегося объекта капитального строительства «Агропромышленный парк «Черногорский»</w:t>
      </w:r>
      <w:r>
        <w:rPr>
          <w:rFonts w:cs="Times New Roman" w:ascii="Times New Roman" w:hAnsi="Times New Roman"/>
          <w:sz w:val="24"/>
          <w:szCs w:val="24"/>
        </w:rPr>
        <w:t xml:space="preserve">  </w:t>
      </w:r>
    </w:p>
    <w:p>
      <w:pPr>
        <w:pStyle w:val="Normal"/>
        <w:spacing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1. Изучив документацию о конкурсе на право заключения договора на изготовление, поставку и монтаж дверей охлаждаемых помещений строящегося объекта капитального строительства Агропромышленный парк «Черногорский» (далее – Объект), а также применимые к данному конкурсу условия, предусмотренные Положением об организации деятельности по осуществлению закупок (отбору Контрагентов) обществом с ограниченной ответственностью «Управляющая компания Инфраструктура Хакасии», _______________________________________________________________________, в лице</w:t>
      </w:r>
    </w:p>
    <w:p>
      <w:pPr>
        <w:pStyle w:val="Normal"/>
        <w:spacing w:lineRule="auto" w:line="240" w:before="0" w:after="0"/>
        <w:contextualSpacing/>
        <w:rPr>
          <w:rFonts w:ascii="Times New Roman" w:hAnsi="Times New Roman" w:cs="Times New Roman"/>
          <w:i/>
          <w:i/>
          <w:color w:val="000000"/>
          <w:sz w:val="24"/>
          <w:szCs w:val="24"/>
        </w:rPr>
      </w:pPr>
      <w:r>
        <w:rPr>
          <w:rFonts w:cs="Times New Roman" w:ascii="Times New Roman" w:hAnsi="Times New Roman"/>
          <w:i/>
          <w:color w:val="000000"/>
          <w:sz w:val="24"/>
          <w:szCs w:val="24"/>
        </w:rPr>
        <w:t xml:space="preserve">                                   </w:t>
      </w:r>
      <w:r>
        <w:rPr>
          <w:rFonts w:cs="Times New Roman" w:ascii="Times New Roman" w:hAnsi="Times New Roman"/>
          <w:i/>
          <w:color w:val="000000"/>
          <w:sz w:val="24"/>
          <w:szCs w:val="24"/>
        </w:rPr>
        <w:t>(наименование заявителя)</w:t>
      </w:r>
    </w:p>
    <w:p>
      <w:pPr>
        <w:pStyle w:val="Normal"/>
        <w:spacing w:lineRule="auto" w:line="240"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_____________________________________________________________________________</w:t>
      </w:r>
    </w:p>
    <w:p>
      <w:pPr>
        <w:pStyle w:val="Normal"/>
        <w:spacing w:lineRule="auto" w:line="240" w:before="0" w:after="0"/>
        <w:contextualSpacing/>
        <w:jc w:val="both"/>
        <w:rPr>
          <w:rFonts w:ascii="Times New Roman" w:hAnsi="Times New Roman" w:cs="Times New Roman"/>
          <w:i/>
          <w:i/>
          <w:color w:val="000000"/>
          <w:sz w:val="24"/>
          <w:szCs w:val="24"/>
        </w:rPr>
      </w:pPr>
      <w:r>
        <w:rPr>
          <w:rFonts w:cs="Times New Roman" w:ascii="Times New Roman" w:hAnsi="Times New Roman"/>
          <w:i/>
          <w:color w:val="000000"/>
          <w:sz w:val="24"/>
          <w:szCs w:val="24"/>
        </w:rPr>
        <w:t>(наименование должности руководителя и его Ф.И.О, уполномоченного лица, при непосредственной подаче заявки индивидуальным предпринимателем графа может не заполняться.)</w:t>
      </w:r>
    </w:p>
    <w:p>
      <w:pPr>
        <w:pStyle w:val="Normal"/>
        <w:spacing w:lineRule="auto" w:line="240"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сообщает о согласии участвовать в конкурсе (процедуре отбора Контрагентов) на условиях, установленных в конкурсной документации, и направляет настоящую заявку. </w:t>
      </w:r>
    </w:p>
    <w:p>
      <w:pPr>
        <w:pStyle w:val="Normal"/>
        <w:spacing w:lineRule="auto" w:line="240" w:before="0" w:after="0"/>
        <w:ind w:firstLine="709"/>
        <w:contextualSpacing/>
        <w:jc w:val="both"/>
        <w:rPr>
          <w:rFonts w:ascii="Times New Roman" w:hAnsi="Times New Roman" w:cs="Times New Roman"/>
          <w:color w:val="000000"/>
          <w:sz w:val="18"/>
          <w:szCs w:val="18"/>
        </w:rPr>
      </w:pPr>
      <w:r>
        <w:rPr>
          <w:rFonts w:cs="Times New Roman" w:ascii="Times New Roman" w:hAnsi="Times New Roman"/>
          <w:color w:val="000000"/>
          <w:sz w:val="24"/>
          <w:szCs w:val="24"/>
        </w:rPr>
        <w:t xml:space="preserve">2. Предлагаемая нами цена договора за изготовление, поставку весь объем работ, указанный в конкурсной документации (общая стоимость поставки и выполняемых работ), составляет _______________ рублей _________копеек. </w:t>
      </w:r>
      <w:r>
        <w:rPr>
          <w:rFonts w:cs="Times New Roman" w:ascii="Times New Roman" w:hAnsi="Times New Roman"/>
          <w:color w:val="000000"/>
          <w:sz w:val="18"/>
          <w:szCs w:val="18"/>
        </w:rPr>
        <w:t>(стоимость указывается с учетом применяемой участником системой налогообложения)</w:t>
      </w:r>
    </w:p>
    <w:p>
      <w:pPr>
        <w:pStyle w:val="Normal"/>
        <w:spacing w:lineRule="auto" w:line="240" w:before="0" w:after="0"/>
        <w:ind w:firstLine="709" w:right="-1"/>
        <w:contextualSpacing/>
        <w:jc w:val="both"/>
        <w:rPr>
          <w:rFonts w:ascii="Times New Roman" w:hAnsi="Times New Roman" w:cs="Times New Roman"/>
          <w:i/>
          <w:i/>
          <w:sz w:val="24"/>
          <w:szCs w:val="24"/>
        </w:rPr>
      </w:pPr>
      <w:r>
        <w:rPr>
          <w:rFonts w:cs="Times New Roman" w:ascii="Times New Roman" w:hAnsi="Times New Roman"/>
          <w:sz w:val="24"/>
          <w:szCs w:val="24"/>
        </w:rPr>
        <w:t xml:space="preserve">3. _______________________________ гарантирует, что изготовление, поставка и монтаж дверей будет произведен в соответствии с Проектной документацией «Агропромышленный парк «Черногорский» и Техническим заданием.    </w:t>
      </w:r>
    </w:p>
    <w:p>
      <w:pPr>
        <w:pStyle w:val="Normal"/>
        <w:spacing w:lineRule="auto" w:line="240" w:before="0" w:after="0"/>
        <w:ind w:firstLine="708"/>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4. В случае если ________________ будет признан____ победителем конкурса, _________ берет на себя обязательство подписать договор на изготовление, поставку и выполнение монтажных работ с обществом с ограниченной ответственностью «Управляющая компания Инфраструктура Хакасии» в соответствии с требованиями конкурсной документации, проектом договора и с условием о цене договора, определенной по результатам конкурса.</w:t>
      </w:r>
    </w:p>
    <w:p>
      <w:pPr>
        <w:pStyle w:val="Normal"/>
        <w:spacing w:lineRule="auto" w:line="240" w:before="0" w:after="0"/>
        <w:ind w:firstLine="708"/>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5. ____________________ гарантирует, что в отношении него отсутствует решение о ликвидации, а также отсутствует решение арбитражного суда о признании заявителя - юридического лица, индивидуального предпринимателя банкротом и об открытии конкурсного производства, деятельность заявителя не приостановлена в порядке, предусмотренном Кодексом Российской Федерации об административных правонарушениях.</w:t>
      </w:r>
    </w:p>
    <w:p>
      <w:pPr>
        <w:pStyle w:val="Normal"/>
        <w:spacing w:lineRule="auto" w:line="240" w:before="0" w:after="0"/>
        <w:ind w:firstLine="708"/>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6.  ____________________ гарантирует, что в отношении него отсутствуют сведения</w:t>
      </w:r>
      <w:r>
        <w:rPr>
          <w:rFonts w:eastAsia="Times New Roman" w:cs="Times New Roman" w:ascii="Times New Roman" w:hAnsi="Times New Roman"/>
          <w:color w:val="000000"/>
          <w:sz w:val="24"/>
          <w:szCs w:val="24"/>
        </w:rPr>
        <w:t xml:space="preserve"> в реестрах недобросовестных Контрагентов, предусмотренных Федеральным законом № 223-ФЗ от 18.07.2011 «О закупках товаров, работ, услуг отдельными видами юридических лиц» и (или) Федеральным законом от 05.04.2013 № 44-ФЗ «О контрактной системе в сфере закупок»</w:t>
      </w:r>
      <w:r>
        <w:rPr>
          <w:rFonts w:cs="Times New Roman" w:ascii="Times New Roman" w:hAnsi="Times New Roman"/>
          <w:color w:val="000000"/>
          <w:sz w:val="24"/>
          <w:szCs w:val="24"/>
        </w:rPr>
        <w:t xml:space="preserve">. </w:t>
      </w:r>
    </w:p>
    <w:p>
      <w:pPr>
        <w:pStyle w:val="Normal"/>
        <w:spacing w:lineRule="auto" w:line="240" w:before="0" w:after="0"/>
        <w:ind w:firstLine="708"/>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7. _____________________ гарантирует отсутствие в отношении него приостановления деятельности в порядке, предусмотренном Кодексом Российской Федерации об административных правонарушениях.</w:t>
      </w:r>
    </w:p>
    <w:p>
      <w:pPr>
        <w:pStyle w:val="Normal"/>
        <w:spacing w:lineRule="auto" w:line="240" w:before="0" w:after="0"/>
        <w:ind w:firstLine="708"/>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8. ______________________ гарантирует, что в реестре дисквалифицированных лиц отсутствуют сведения о дисквалифицированном руководителе участника отбора, являющегося юридическим лицом.</w:t>
      </w:r>
    </w:p>
    <w:p>
      <w:pPr>
        <w:pStyle w:val="Normal"/>
        <w:spacing w:lineRule="auto" w:line="240" w:before="0" w:after="0"/>
        <w:ind w:firstLine="708"/>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9.</w:t>
        <w:tab/>
        <w:t>________________________ гарантирует отсутствие в реестре дисквалифицированных лиц сведений о дисквалифицированных членах коллегиального исполнительного органа участника отбора, являющегося юридическим лицом.</w:t>
      </w:r>
    </w:p>
    <w:p>
      <w:pPr>
        <w:pStyle w:val="Normal"/>
        <w:spacing w:lineRule="auto" w:line="240" w:before="0" w:after="0"/>
        <w:ind w:firstLine="708"/>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10. ________________________ гарантирует, что в реестре дисквалифицированных лиц отсутствуют сведения о дисквалифицированном главном бухгалтере участника отбора, являющегося юридическим лицом.</w:t>
      </w:r>
    </w:p>
    <w:p>
      <w:pPr>
        <w:pStyle w:val="Normal"/>
        <w:spacing w:lineRule="auto" w:line="240" w:before="0" w:after="0"/>
        <w:ind w:firstLine="708"/>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11.</w:t>
        <w:tab/>
        <w:t xml:space="preserve">_________________ гарантирует отсутствие действующих исполнительных производств, возбужденных в отношении ____________ на сумму свыше 1 000 000,00 (одного миллиона) рублей. </w:t>
      </w:r>
    </w:p>
    <w:p>
      <w:pPr>
        <w:pStyle w:val="StyleFirstline127cm"/>
        <w:tabs>
          <w:tab w:val="clear" w:pos="708"/>
          <w:tab w:val="left" w:pos="0" w:leader="none"/>
        </w:tabs>
        <w:spacing w:before="0" w:after="0"/>
        <w:ind w:firstLine="709"/>
        <w:contextualSpacing/>
        <w:rPr>
          <w:rFonts w:ascii="Times New Roman" w:hAnsi="Times New Roman" w:cs="Times New Roman"/>
          <w:color w:val="000000"/>
        </w:rPr>
      </w:pPr>
      <w:r>
        <w:rPr>
          <w:rFonts w:cs="Times New Roman" w:ascii="Times New Roman" w:hAnsi="Times New Roman"/>
          <w:color w:val="000000"/>
        </w:rPr>
        <w:t>12. _________________ сообщает, что для оперативного уведомления по вопросам организационного характера и взаимодействия уполномочен___________________ _____________________________________________________________________________</w:t>
      </w:r>
    </w:p>
    <w:p>
      <w:pPr>
        <w:pStyle w:val="Normal"/>
        <w:tabs>
          <w:tab w:val="clear" w:pos="708"/>
          <w:tab w:val="left" w:pos="0" w:leader="none"/>
        </w:tabs>
        <w:spacing w:lineRule="auto" w:line="240" w:before="0" w:after="0"/>
        <w:ind w:firstLine="720"/>
        <w:contextualSpacing/>
        <w:jc w:val="both"/>
        <w:rPr>
          <w:rFonts w:ascii="Times New Roman" w:hAnsi="Times New Roman" w:cs="Times New Roman"/>
          <w:i/>
          <w:i/>
          <w:iCs/>
          <w:color w:val="000000"/>
          <w:sz w:val="24"/>
          <w:szCs w:val="24"/>
        </w:rPr>
      </w:pPr>
      <w:r>
        <w:rPr>
          <w:rFonts w:cs="Times New Roman" w:ascii="Times New Roman" w:hAnsi="Times New Roman"/>
          <w:i/>
          <w:iCs/>
          <w:color w:val="000000"/>
          <w:sz w:val="24"/>
          <w:szCs w:val="24"/>
        </w:rPr>
        <w:t xml:space="preserve">                                           </w:t>
      </w:r>
      <w:r>
        <w:rPr>
          <w:rFonts w:cs="Times New Roman" w:ascii="Times New Roman" w:hAnsi="Times New Roman"/>
          <w:i/>
          <w:iCs/>
          <w:color w:val="000000"/>
          <w:sz w:val="24"/>
          <w:szCs w:val="24"/>
        </w:rPr>
        <w:t>(Ф.И.О., телефон).</w:t>
      </w:r>
    </w:p>
    <w:p>
      <w:pPr>
        <w:pStyle w:val="BodyText"/>
        <w:spacing w:before="0" w:after="0"/>
        <w:ind w:firstLine="709"/>
        <w:contextualSpacing/>
        <w:jc w:val="both"/>
        <w:rPr>
          <w:color w:val="000000"/>
        </w:rPr>
      </w:pPr>
      <w:r>
        <w:rPr>
          <w:color w:val="000000"/>
        </w:rPr>
        <w:t xml:space="preserve">13. ______________________ гарантирует достоверность в заявке информации и подтверждает право Заказчика запрашивать у участника закупки - ___________________ и у иных лиц, получать из общедоступных источников информацию, уточняющую представленные сведения. </w:t>
      </w:r>
    </w:p>
    <w:p>
      <w:pPr>
        <w:pStyle w:val="BodyText"/>
        <w:spacing w:before="0" w:after="0"/>
        <w:ind w:firstLine="709"/>
        <w:contextualSpacing/>
        <w:jc w:val="both"/>
        <w:rPr>
          <w:color w:val="000000"/>
        </w:rPr>
      </w:pPr>
      <w:r>
        <w:rPr>
          <w:color w:val="000000"/>
        </w:rPr>
        <w:t>14. Сведения об участнике закупки (отбора Контрагентов):</w:t>
      </w:r>
    </w:p>
    <w:p>
      <w:pPr>
        <w:pStyle w:val="BodyText"/>
        <w:spacing w:before="0" w:after="0"/>
        <w:ind w:firstLine="567"/>
        <w:contextualSpacing/>
        <w:jc w:val="both"/>
        <w:rPr>
          <w:color w:val="000000"/>
          <w:u w:val="single"/>
        </w:rPr>
      </w:pPr>
      <w:r>
        <w:rPr>
          <w:color w:val="000000"/>
        </w:rPr>
        <w:t>- полное и сокращенное наименование Ф.И.О. (для индивидуального предпринимателя):_____________________________________________________________</w:t>
      </w:r>
      <w:r>
        <w:rPr>
          <w:color w:val="000000"/>
          <w:u w:val="single"/>
        </w:rPr>
        <w:t>,</w:t>
      </w:r>
    </w:p>
    <w:p>
      <w:pPr>
        <w:pStyle w:val="BodyText"/>
        <w:spacing w:before="0" w:after="0"/>
        <w:ind w:firstLine="567"/>
        <w:contextualSpacing/>
        <w:jc w:val="both"/>
        <w:rPr>
          <w:color w:val="000000"/>
        </w:rPr>
      </w:pPr>
      <w:r>
        <w:rPr>
          <w:color w:val="000000"/>
        </w:rPr>
        <w:t>- организационно-правовая форма: __</w:t>
      </w:r>
      <w:r>
        <w:rPr>
          <w:color w:val="000000"/>
          <w:u w:val="single"/>
        </w:rPr>
        <w:t>_____________________________________</w:t>
      </w:r>
      <w:r>
        <w:rPr>
          <w:color w:val="000000"/>
        </w:rPr>
        <w:t xml:space="preserve">___, </w:t>
      </w:r>
    </w:p>
    <w:p>
      <w:pPr>
        <w:pStyle w:val="BodyText"/>
        <w:spacing w:before="0" w:after="0"/>
        <w:ind w:firstLine="567"/>
        <w:contextualSpacing/>
        <w:jc w:val="both"/>
        <w:rPr>
          <w:color w:val="000000"/>
        </w:rPr>
      </w:pPr>
      <w:r>
        <w:rPr>
          <w:color w:val="000000"/>
        </w:rPr>
        <w:t>- место нахождения (для юридического лица); место жительства (для индивидуального предпринимателя) ______________________________________________,</w:t>
      </w:r>
    </w:p>
    <w:p>
      <w:pPr>
        <w:pStyle w:val="BodyText"/>
        <w:spacing w:before="0" w:after="0"/>
        <w:ind w:firstLine="567"/>
        <w:contextualSpacing/>
        <w:jc w:val="both"/>
        <w:rPr>
          <w:color w:val="000000"/>
        </w:rPr>
      </w:pPr>
      <w:r>
        <w:rPr>
          <w:color w:val="000000"/>
        </w:rPr>
        <w:t>- ИНН ___________________________; ОГРН (ОГРНИП)_______________________,</w:t>
      </w:r>
    </w:p>
    <w:p>
      <w:pPr>
        <w:pStyle w:val="BodyText"/>
        <w:spacing w:before="0" w:after="0"/>
        <w:ind w:firstLine="567"/>
        <w:contextualSpacing/>
        <w:jc w:val="both"/>
        <w:rPr>
          <w:color w:val="000000"/>
        </w:rPr>
      </w:pPr>
      <w:r>
        <w:rPr>
          <w:color w:val="000000"/>
        </w:rPr>
        <w:t xml:space="preserve">- применяемая на момент подачи заявки система налогообложения и действующая ставка - ______________________________________________________________________,  </w:t>
      </w:r>
    </w:p>
    <w:p>
      <w:pPr>
        <w:pStyle w:val="BodyText"/>
        <w:spacing w:before="0" w:after="0"/>
        <w:contextualSpacing/>
        <w:jc w:val="both"/>
        <w:rPr>
          <w:color w:val="000000"/>
        </w:rPr>
      </w:pPr>
      <w:r>
        <w:rPr>
          <w:color w:val="000000"/>
        </w:rPr>
        <w:t xml:space="preserve">         </w:t>
      </w:r>
      <w:r>
        <w:rPr>
          <w:color w:val="000000"/>
        </w:rPr>
        <w:t>- контактные данные: номер телефона _____________, адрес электронной почты ___________________.</w:t>
      </w:r>
    </w:p>
    <w:p>
      <w:pPr>
        <w:pStyle w:val="BodyText"/>
        <w:spacing w:before="0" w:after="0"/>
        <w:ind w:firstLine="708"/>
        <w:contextualSpacing/>
        <w:jc w:val="both"/>
        <w:rPr>
          <w:color w:val="000000"/>
        </w:rPr>
      </w:pPr>
      <w:r>
        <w:rPr>
          <w:color w:val="000000"/>
        </w:rPr>
        <w:t>15. Корреспонденцию в адрес ______________ просим направлять по адресу: _</w:t>
      </w:r>
      <w:r>
        <w:rPr>
          <w:color w:val="000000"/>
          <w:u w:val="single"/>
        </w:rPr>
        <w:t>_________________________________</w:t>
      </w:r>
      <w:r>
        <w:rPr>
          <w:color w:val="000000"/>
        </w:rPr>
        <w:t xml:space="preserve">_____. </w:t>
      </w:r>
    </w:p>
    <w:p>
      <w:pPr>
        <w:pStyle w:val="BodyText"/>
        <w:spacing w:before="0" w:after="0"/>
        <w:contextualSpacing/>
        <w:jc w:val="both"/>
        <w:rPr>
          <w:color w:val="000000"/>
        </w:rPr>
      </w:pPr>
      <w:r>
        <w:rPr>
          <w:color w:val="000000"/>
        </w:rPr>
      </w:r>
    </w:p>
    <w:p>
      <w:pPr>
        <w:pStyle w:val="ListParagraph"/>
        <w:spacing w:lineRule="auto" w:line="240" w:before="0" w:after="0"/>
        <w:ind w:firstLine="894" w:left="0"/>
        <w:contextualSpacing/>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Подача настоящей заявки на участие в конкурсе (процедуре отбора Контрагентов) ___________________________________ является подтверждением принятия (акцептом) всех условий Заказчика, предусмотренных в конкурсной документации, в том числе условий исполнения договора. </w:t>
      </w:r>
    </w:p>
    <w:p>
      <w:pPr>
        <w:pStyle w:val="BodyText"/>
        <w:spacing w:before="0" w:after="0"/>
        <w:contextualSpacing/>
        <w:jc w:val="both"/>
        <w:rPr>
          <w:color w:val="000000"/>
        </w:rPr>
      </w:pPr>
      <w:r>
        <w:rPr>
          <w:color w:val="000000"/>
        </w:rPr>
        <w:t xml:space="preserve"> </w:t>
      </w:r>
      <w:r>
        <w:rPr>
          <w:color w:val="000000"/>
        </w:rPr>
        <w:t>«______» _______________ 20___ года</w:t>
      </w:r>
    </w:p>
    <w:p>
      <w:pPr>
        <w:pStyle w:val="BodyText"/>
        <w:spacing w:before="0" w:after="0"/>
        <w:contextualSpacing/>
        <w:jc w:val="both"/>
        <w:rPr>
          <w:color w:val="000000"/>
        </w:rPr>
      </w:pPr>
      <w:r>
        <w:rPr>
          <w:color w:val="000000"/>
        </w:rPr>
      </w:r>
    </w:p>
    <w:p>
      <w:pPr>
        <w:pStyle w:val="BodyText"/>
        <w:spacing w:before="0" w:after="0"/>
        <w:contextualSpacing/>
        <w:jc w:val="both"/>
        <w:rPr>
          <w:color w:val="000000"/>
        </w:rPr>
      </w:pPr>
      <w:r>
        <w:rPr>
          <w:color w:val="000000"/>
        </w:rPr>
        <w:t>Подпись руководителя юридического лица</w:t>
      </w:r>
    </w:p>
    <w:p>
      <w:pPr>
        <w:pStyle w:val="BodyText"/>
        <w:spacing w:before="0" w:after="0"/>
        <w:contextualSpacing/>
        <w:jc w:val="both"/>
        <w:rPr>
          <w:color w:val="000000"/>
        </w:rPr>
      </w:pPr>
      <w:r>
        <w:rPr>
          <w:color w:val="000000"/>
        </w:rPr>
        <w:t xml:space="preserve">(индивидуального предпринимателя, </w:t>
      </w:r>
    </w:p>
    <w:p>
      <w:pPr>
        <w:pStyle w:val="BodyText"/>
        <w:spacing w:before="0" w:after="0"/>
        <w:contextualSpacing/>
        <w:jc w:val="both"/>
        <w:rPr>
          <w:color w:val="000000"/>
        </w:rPr>
      </w:pPr>
      <w:r>
        <w:rPr>
          <w:color w:val="000000"/>
        </w:rPr>
        <w:t>или уполномоченного лица)</w:t>
        <w:tab/>
        <w:tab/>
        <w:tab/>
        <w:t xml:space="preserve">_________________/______________        </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Приложение №2 к конкурсной </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документации на право заключения договора </w:t>
      </w:r>
    </w:p>
    <w:p>
      <w:pPr>
        <w:pStyle w:val="Normal"/>
        <w:spacing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изготовление, поставку и монтаж дверей промышленной серии охлаждаемых помещений </w:t>
      </w:r>
    </w:p>
    <w:p>
      <w:pPr>
        <w:pStyle w:val="Normal"/>
        <w:spacing w:before="0" w:after="0"/>
        <w:jc w:val="right"/>
        <w:rPr>
          <w:rFonts w:ascii="Times New Roman" w:hAnsi="Times New Roman" w:cs="Times New Roman"/>
          <w:sz w:val="24"/>
          <w:szCs w:val="24"/>
        </w:rPr>
      </w:pPr>
      <w:r>
        <w:rPr>
          <w:rFonts w:cs="Times New Roman" w:ascii="Times New Roman" w:hAnsi="Times New Roman"/>
          <w:sz w:val="24"/>
          <w:szCs w:val="24"/>
        </w:rPr>
        <w:t xml:space="preserve">строящегося объекта капитального </w:t>
      </w:r>
    </w:p>
    <w:p>
      <w:pPr>
        <w:pStyle w:val="Normal"/>
        <w:spacing w:before="0" w:after="0"/>
        <w:jc w:val="right"/>
        <w:rPr>
          <w:rFonts w:ascii="Times New Roman" w:hAnsi="Times New Roman" w:cs="Times New Roman"/>
          <w:b/>
          <w:sz w:val="24"/>
          <w:szCs w:val="24"/>
        </w:rPr>
      </w:pPr>
      <w:r>
        <w:rPr>
          <w:rFonts w:cs="Times New Roman" w:ascii="Times New Roman" w:hAnsi="Times New Roman"/>
          <w:sz w:val="24"/>
          <w:szCs w:val="24"/>
        </w:rPr>
        <w:t>строительства «Агропромышленный парк «Черногорский»</w:t>
      </w:r>
    </w:p>
    <w:p>
      <w:pPr>
        <w:pStyle w:val="Normal"/>
        <w:tabs>
          <w:tab w:val="clear" w:pos="708"/>
          <w:tab w:val="left" w:pos="426" w:leader="none"/>
          <w:tab w:val="left" w:pos="6456" w:leader="none"/>
        </w:tabs>
        <w:spacing w:before="0" w:after="0"/>
        <w:ind w:firstLine="709"/>
        <w:jc w:val="center"/>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426" w:leader="none"/>
          <w:tab w:val="left" w:pos="6456" w:leader="none"/>
        </w:tabs>
        <w:spacing w:before="0" w:after="0"/>
        <w:ind w:firstLine="709"/>
        <w:jc w:val="center"/>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426" w:leader="none"/>
          <w:tab w:val="left" w:pos="6456" w:leader="none"/>
        </w:tabs>
        <w:spacing w:before="0" w:after="0"/>
        <w:ind w:firstLine="709"/>
        <w:jc w:val="center"/>
        <w:rPr>
          <w:rFonts w:ascii="Times New Roman" w:hAnsi="Times New Roman" w:cs="Times New Roman"/>
          <w:b/>
          <w:sz w:val="24"/>
          <w:szCs w:val="24"/>
        </w:rPr>
      </w:pPr>
      <w:r>
        <w:rPr>
          <w:rFonts w:cs="Times New Roman" w:ascii="Times New Roman" w:hAnsi="Times New Roman"/>
          <w:b/>
          <w:sz w:val="24"/>
          <w:szCs w:val="24"/>
        </w:rPr>
        <w:t>Перечень критериев для оценки участников конкурса (отбора Контрагентов), документов, предоставляемых для подтверждения соответствия критериям,</w:t>
      </w:r>
      <w:r>
        <w:rPr>
          <w:rFonts w:eastAsia="Times New Roman" w:cs="Times New Roman" w:ascii="Times New Roman" w:hAnsi="Times New Roman"/>
          <w:b/>
          <w:sz w:val="24"/>
          <w:szCs w:val="24"/>
        </w:rPr>
        <w:t xml:space="preserve"> и порядок подсчета баллов (% соответствия)</w:t>
      </w:r>
    </w:p>
    <w:p>
      <w:pPr>
        <w:pStyle w:val="Normal"/>
        <w:tabs>
          <w:tab w:val="clear" w:pos="708"/>
          <w:tab w:val="left" w:pos="426" w:leader="none"/>
          <w:tab w:val="left" w:pos="6456" w:leader="none"/>
        </w:tabs>
        <w:spacing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rPr>
      </w:pPr>
      <w:r>
        <w:rPr>
          <w:rFonts w:cs="Times New Roman" w:ascii="Times New Roman" w:hAnsi="Times New Roman"/>
        </w:rPr>
        <w:t>Понятия, используемые при оценке конкурсных заявок:</w:t>
      </w:r>
    </w:p>
    <w:p>
      <w:pPr>
        <w:pStyle w:val="Normal"/>
        <w:spacing w:lineRule="auto" w:line="240" w:before="0" w:after="0"/>
        <w:jc w:val="both"/>
        <w:rPr>
          <w:rFonts w:ascii="Times New Roman" w:hAnsi="Times New Roman" w:cs="Times New Roman"/>
        </w:rPr>
      </w:pPr>
      <w:r>
        <w:rPr>
          <w:rFonts w:cs="Times New Roman" w:ascii="Times New Roman" w:hAnsi="Times New Roman"/>
          <w:b/>
        </w:rPr>
        <w:t>Критерии оценки</w:t>
      </w:r>
      <w:r>
        <w:rPr>
          <w:rFonts w:cs="Times New Roman" w:ascii="Times New Roman" w:hAnsi="Times New Roman"/>
        </w:rPr>
        <w:t xml:space="preserve"> — факторы, важные для принятия решения.</w:t>
      </w:r>
    </w:p>
    <w:p>
      <w:pPr>
        <w:pStyle w:val="Normal"/>
        <w:spacing w:lineRule="auto" w:line="240" w:before="0" w:after="0"/>
        <w:jc w:val="both"/>
        <w:rPr>
          <w:rFonts w:ascii="Times New Roman" w:hAnsi="Times New Roman" w:cs="Times New Roman"/>
        </w:rPr>
      </w:pPr>
      <w:r>
        <w:rPr>
          <w:rFonts w:cs="Times New Roman" w:ascii="Times New Roman" w:hAnsi="Times New Roman"/>
          <w:b/>
        </w:rPr>
        <w:t>Веса критериев</w:t>
      </w:r>
      <w:r>
        <w:rPr>
          <w:rFonts w:cs="Times New Roman" w:ascii="Times New Roman" w:hAnsi="Times New Roman"/>
        </w:rPr>
        <w:t xml:space="preserve"> — числовые значения, отражающие относительную важность каждого фактора.</w:t>
      </w:r>
    </w:p>
    <w:p>
      <w:pPr>
        <w:pStyle w:val="Normal"/>
        <w:spacing w:lineRule="auto" w:line="240" w:before="0" w:after="0"/>
        <w:jc w:val="both"/>
        <w:rPr>
          <w:rFonts w:ascii="Times New Roman" w:hAnsi="Times New Roman" w:cs="Times New Roman"/>
        </w:rPr>
      </w:pPr>
      <w:r>
        <w:rPr>
          <w:rFonts w:cs="Times New Roman" w:ascii="Times New Roman" w:hAnsi="Times New Roman"/>
          <w:b/>
        </w:rPr>
        <w:t>Оценки альтернатив</w:t>
      </w:r>
      <w:r>
        <w:rPr>
          <w:rFonts w:cs="Times New Roman" w:ascii="Times New Roman" w:hAnsi="Times New Roman"/>
        </w:rPr>
        <w:t xml:space="preserve"> — баллы, присвоенные каждому варианту по каждому критерию.</w:t>
      </w:r>
    </w:p>
    <w:p>
      <w:pPr>
        <w:pStyle w:val="Normal"/>
        <w:spacing w:lineRule="auto" w:line="240" w:before="0" w:after="0"/>
        <w:jc w:val="both"/>
        <w:rPr>
          <w:rFonts w:ascii="Times New Roman" w:hAnsi="Times New Roman" w:cs="Times New Roman"/>
        </w:rPr>
      </w:pPr>
      <w:r>
        <w:rPr>
          <w:rFonts w:cs="Times New Roman" w:ascii="Times New Roman" w:hAnsi="Times New Roman"/>
          <w:b/>
        </w:rPr>
        <w:t>Взвешенные оценки (ВО</w:t>
      </w:r>
      <w:r>
        <w:rPr>
          <w:rFonts w:cs="Times New Roman" w:ascii="Times New Roman" w:hAnsi="Times New Roman"/>
          <w:b/>
          <w:vertAlign w:val="subscript"/>
          <w:lang w:val="en-US"/>
        </w:rPr>
        <w:t>n</w:t>
      </w:r>
      <w:r>
        <w:rPr>
          <w:rFonts w:cs="Times New Roman" w:ascii="Times New Roman" w:hAnsi="Times New Roman"/>
          <w:b/>
        </w:rPr>
        <w:t>)</w:t>
      </w:r>
      <w:r>
        <w:rPr>
          <w:rFonts w:cs="Times New Roman" w:ascii="Times New Roman" w:hAnsi="Times New Roman"/>
        </w:rPr>
        <w:t xml:space="preserve"> — произведение оценки на вес соответствующего критерия.</w:t>
      </w:r>
    </w:p>
    <w:p>
      <w:pPr>
        <w:pStyle w:val="Normal"/>
        <w:spacing w:lineRule="auto" w:line="240" w:before="0" w:after="0"/>
        <w:jc w:val="both"/>
        <w:rPr>
          <w:rFonts w:ascii="Times New Roman" w:hAnsi="Times New Roman" w:cs="Times New Roman"/>
        </w:rPr>
      </w:pPr>
      <w:r>
        <w:rPr>
          <w:rFonts w:cs="Times New Roman" w:ascii="Times New Roman" w:hAnsi="Times New Roman"/>
          <w:b/>
        </w:rPr>
        <w:t>Итоговый рейтинг (</w:t>
      </w:r>
      <w:r>
        <w:rPr>
          <w:rFonts w:cs="Times New Roman" w:ascii="Times New Roman" w:hAnsi="Times New Roman"/>
          <w:b/>
          <w:lang w:val="en-US"/>
        </w:rPr>
        <w:t>IR</w:t>
      </w:r>
      <w:r>
        <w:rPr>
          <w:rFonts w:cs="Times New Roman" w:ascii="Times New Roman" w:hAnsi="Times New Roman"/>
          <w:b/>
        </w:rPr>
        <w:t>)</w:t>
      </w:r>
      <w:r>
        <w:rPr>
          <w:rFonts w:cs="Times New Roman" w:ascii="Times New Roman" w:hAnsi="Times New Roman"/>
        </w:rPr>
        <w:t xml:space="preserve"> — сумма всех взвешенных оценок для каждой альтернативы.</w:t>
      </w:r>
    </w:p>
    <w:p>
      <w:pPr>
        <w:pStyle w:val="Normal"/>
        <w:spacing w:lineRule="auto" w:line="240" w:before="0" w:after="0"/>
        <w:jc w:val="both"/>
        <w:rPr>
          <w:rFonts w:ascii="Times New Roman" w:hAnsi="Times New Roman" w:cs="Times New Roman"/>
        </w:rPr>
      </w:pPr>
      <w:r>
        <w:rPr>
          <w:rFonts w:cs="Times New Roman" w:ascii="Times New Roman" w:hAnsi="Times New Roman"/>
          <w:b/>
        </w:rPr>
        <w:t>НМЦД</w:t>
      </w:r>
      <w:r>
        <w:rPr>
          <w:rFonts w:cs="Times New Roman" w:ascii="Times New Roman" w:hAnsi="Times New Roman"/>
        </w:rPr>
        <w:t>- начальная максимальная цена договора-твердая сумма, установленная заказчиком;</w:t>
      </w:r>
    </w:p>
    <w:p>
      <w:pPr>
        <w:pStyle w:val="Normal"/>
        <w:spacing w:lineRule="auto" w:line="240" w:before="0" w:after="0"/>
        <w:jc w:val="both"/>
        <w:rPr>
          <w:rFonts w:ascii="Times New Roman" w:hAnsi="Times New Roman" w:cs="Times New Roman"/>
        </w:rPr>
      </w:pPr>
      <w:r>
        <w:rPr>
          <w:rFonts w:cs="Times New Roman" w:ascii="Times New Roman" w:hAnsi="Times New Roman"/>
          <w:b/>
        </w:rPr>
        <w:t>Ц</w:t>
      </w:r>
      <w:r>
        <w:rPr>
          <w:rFonts w:cs="Times New Roman" w:ascii="Times New Roman" w:hAnsi="Times New Roman"/>
          <w:b/>
          <w:i/>
        </w:rPr>
        <w:t>пред</w:t>
      </w:r>
      <w:r>
        <w:rPr>
          <w:rFonts w:cs="Times New Roman" w:ascii="Times New Roman" w:hAnsi="Times New Roman"/>
        </w:rPr>
        <w:t>-ценовое предложение -цена, указанная в заявке участника конкурса;</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keepNext w:val="true"/>
        <w:spacing w:lineRule="auto" w:line="240" w:before="0" w:after="0"/>
        <w:jc w:val="right"/>
        <w:rPr>
          <w:rFonts w:ascii="Times New Roman" w:hAnsi="Times New Roman" w:cs="Times New Roman"/>
          <w:i/>
          <w:i/>
          <w:iCs/>
          <w:color w:themeColor="text2" w:val="44546A"/>
          <w:sz w:val="18"/>
          <w:szCs w:val="18"/>
        </w:rPr>
      </w:pPr>
      <w:r>
        <w:rPr>
          <w:rFonts w:cs="Times New Roman" w:ascii="Times New Roman" w:hAnsi="Times New Roman"/>
          <w:i/>
          <w:iCs/>
          <w:color w:themeColor="text2" w:val="44546A"/>
          <w:sz w:val="18"/>
          <w:szCs w:val="18"/>
        </w:rPr>
        <w:t xml:space="preserve">Таблица </w:t>
      </w:r>
      <w:r>
        <w:rPr>
          <w:rFonts w:cs="Times New Roman" w:ascii="Times New Roman" w:hAnsi="Times New Roman"/>
          <w:i/>
          <w:iCs/>
          <w:color w:themeColor="text2" w:val="44546A"/>
          <w:sz w:val="18"/>
          <w:szCs w:val="18"/>
        </w:rPr>
        <w:fldChar w:fldCharType="begin"/>
      </w:r>
      <w:r>
        <w:rPr>
          <w:sz w:val="18"/>
          <w:i/>
          <w:szCs w:val="18"/>
          <w:iCs/>
          <w:rFonts w:cs="Times New Roman" w:ascii="Times New Roman" w:hAnsi="Times New Roman"/>
          <w:color w:themeColor="text2" w:val="44546A"/>
        </w:rPr>
        <w:instrText xml:space="preserve"> SEQ Таблица \* ARABIC </w:instrText>
      </w:r>
      <w:r>
        <w:rPr>
          <w:sz w:val="18"/>
          <w:i/>
          <w:szCs w:val="18"/>
          <w:iCs/>
          <w:rFonts w:cs="Times New Roman" w:ascii="Times New Roman" w:hAnsi="Times New Roman"/>
          <w:color w:themeColor="text2" w:val="44546A"/>
        </w:rPr>
        <w:fldChar w:fldCharType="separate"/>
      </w:r>
      <w:r>
        <w:rPr>
          <w:sz w:val="18"/>
          <w:i/>
          <w:szCs w:val="18"/>
          <w:iCs/>
          <w:rFonts w:cs="Times New Roman" w:ascii="Times New Roman" w:hAnsi="Times New Roman"/>
          <w:color w:themeColor="text2" w:val="44546A"/>
        </w:rPr>
        <w:t>1</w:t>
      </w:r>
      <w:r>
        <w:rPr>
          <w:sz w:val="18"/>
          <w:i/>
          <w:szCs w:val="18"/>
          <w:iCs/>
          <w:rFonts w:cs="Times New Roman" w:ascii="Times New Roman" w:hAnsi="Times New Roman"/>
          <w:color w:themeColor="text2" w:val="44546A"/>
        </w:rPr>
        <w:fldChar w:fldCharType="end"/>
      </w:r>
      <w:r>
        <w:rPr>
          <w:rFonts w:cs="Times New Roman" w:ascii="Times New Roman" w:hAnsi="Times New Roman"/>
          <w:i/>
          <w:iCs/>
          <w:color w:themeColor="text2" w:val="44546A"/>
          <w:sz w:val="18"/>
          <w:szCs w:val="18"/>
        </w:rPr>
        <w:t xml:space="preserve"> Критерии оценки</w:t>
      </w:r>
    </w:p>
    <w:tbl>
      <w:tblPr>
        <w:tblStyle w:val="afb"/>
        <w:tblW w:w="97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63"/>
        <w:gridCol w:w="2269"/>
        <w:gridCol w:w="2268"/>
        <w:gridCol w:w="1134"/>
        <w:gridCol w:w="992"/>
        <w:gridCol w:w="2549"/>
      </w:tblGrid>
      <w:tr>
        <w:trPr>
          <w:trHeight w:val="615" w:hRule="atLeast"/>
        </w:trPr>
        <w:tc>
          <w:tcPr>
            <w:tcW w:w="563"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Критерий</w:t>
            </w:r>
          </w:p>
        </w:tc>
        <w:tc>
          <w:tcPr>
            <w:tcW w:w="2268"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Альтернатива</w:t>
            </w:r>
          </w:p>
        </w:tc>
        <w:tc>
          <w:tcPr>
            <w:tcW w:w="113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Количество баллов</w:t>
            </w:r>
          </w:p>
        </w:tc>
        <w:tc>
          <w:tcPr>
            <w:tcW w:w="992"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Весовой коэффициент</w:t>
            </w:r>
          </w:p>
        </w:tc>
        <w:tc>
          <w:tcPr>
            <w:tcW w:w="2549" w:type="dxa"/>
            <w:tcBorders/>
          </w:tcPr>
          <w:p>
            <w:pPr>
              <w:pStyle w:val="Normal"/>
              <w:widowControl/>
              <w:suppressAutoHyphens w:val="true"/>
              <w:spacing w:lineRule="auto" w:line="240" w:before="0" w:after="0"/>
              <w:ind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t>Подтверждающие документы</w:t>
            </w:r>
          </w:p>
        </w:tc>
      </w:tr>
      <w:tr>
        <w:trPr>
          <w:trHeight w:val="1793" w:hRule="atLeast"/>
        </w:trPr>
        <w:tc>
          <w:tcPr>
            <w:tcW w:w="563" w:type="dxa"/>
            <w:vMerge w:val="restart"/>
            <w:tcBorders/>
          </w:tcPr>
          <w:p>
            <w:pPr>
              <w:pStyle w:val="Normal"/>
              <w:widowControl/>
              <w:suppressAutoHyphens w:val="true"/>
              <w:spacing w:lineRule="auto" w:line="240" w:before="0" w:after="0"/>
              <w:jc w:val="right"/>
              <w:rPr>
                <w:rFonts w:ascii="Times New Roman" w:hAnsi="Times New Roman" w:cs="Times New Roman"/>
              </w:rPr>
            </w:pPr>
            <w:r>
              <w:rPr>
                <w:rFonts w:eastAsia="Calibri" w:cs="Times New Roman" w:ascii="Times New Roman" w:hAnsi="Times New Roman"/>
                <w:kern w:val="0"/>
                <w:sz w:val="22"/>
                <w:szCs w:val="22"/>
                <w:lang w:val="ru-RU" w:eastAsia="en-US" w:bidi="ar-SA"/>
              </w:rPr>
              <w:t>1</w:t>
            </w:r>
          </w:p>
          <w:p>
            <w:pPr>
              <w:pStyle w:val="Normal"/>
              <w:widowControl/>
              <w:suppressAutoHyphens w:val="true"/>
              <w:spacing w:lineRule="auto" w:line="240" w:before="0" w:after="0"/>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restart"/>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Наличие опыта поставки и производства монтажных работ промышленных и противопожарных дверей в охлаждаемых помещениях за период 5 лет, предшествующих дате начала приема заявок (в том числе с привлечением 3-х лиц)</w:t>
            </w:r>
          </w:p>
        </w:tc>
        <w:tc>
          <w:tcPr>
            <w:tcW w:w="2268"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наличие опыта</w:t>
            </w:r>
          </w:p>
        </w:tc>
        <w:tc>
          <w:tcPr>
            <w:tcW w:w="113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100</w:t>
            </w:r>
          </w:p>
        </w:tc>
        <w:tc>
          <w:tcPr>
            <w:tcW w:w="992" w:type="dxa"/>
            <w:vMerge w:val="restart"/>
            <w:tcBorders/>
            <w:vAlign w:val="center"/>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0,45</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restart"/>
            <w:tcBorders/>
          </w:tcPr>
          <w:p>
            <w:pPr>
              <w:pStyle w:val="Normal"/>
              <w:widowControl/>
              <w:suppressAutoHyphens w:val="true"/>
              <w:spacing w:lineRule="auto" w:line="240" w:before="0" w:after="0"/>
              <w:ind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t>Копии исполненных договоров/контрактов, за период с 03 сентября 2021г. по 02 сентября 2026 г. с приложением актов, товарных накладных, счетов-фактур и проч. Документов, подтверждающих поставку и монтаж дверей).</w:t>
            </w:r>
          </w:p>
          <w:p>
            <w:pPr>
              <w:pStyle w:val="Normal"/>
              <w:widowControl/>
              <w:suppressAutoHyphens w:val="true"/>
              <w:spacing w:lineRule="auto" w:line="240" w:before="0" w:after="0"/>
              <w:ind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t>При предоставлении договоров/контрактов, в целях исполнения которых привлекались третьи лица – копии договоров подряда с указанными лицами.</w:t>
            </w:r>
          </w:p>
        </w:tc>
      </w:tr>
      <w:tr>
        <w:trPr>
          <w:trHeight w:val="1832" w:hRule="atLeast"/>
        </w:trPr>
        <w:tc>
          <w:tcPr>
            <w:tcW w:w="563" w:type="dxa"/>
            <w:vMerge w:val="continue"/>
            <w:tcBorders/>
          </w:tcPr>
          <w:p>
            <w:pPr>
              <w:pStyle w:val="Normal"/>
              <w:widowControl/>
              <w:suppressAutoHyphens w:val="true"/>
              <w:spacing w:lineRule="auto" w:line="240" w:before="0" w:after="0"/>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highlight w:val="yellow"/>
              </w:rPr>
            </w:pPr>
            <w:r>
              <w:rPr>
                <w:rFonts w:eastAsia="Calibri" w:cs="Times New Roman" w:ascii="Times New Roman" w:hAnsi="Times New Roman"/>
                <w:kern w:val="0"/>
                <w:sz w:val="22"/>
                <w:szCs w:val="22"/>
                <w:highlight w:val="yellow"/>
                <w:lang w:val="ru-RU" w:eastAsia="en-US" w:bidi="ar-SA"/>
              </w:rPr>
            </w:r>
          </w:p>
        </w:tc>
        <w:tc>
          <w:tcPr>
            <w:tcW w:w="2268"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отсутствие объектов</w:t>
            </w:r>
          </w:p>
        </w:tc>
        <w:tc>
          <w:tcPr>
            <w:tcW w:w="113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continue"/>
            <w:tcBorders/>
          </w:tcPr>
          <w:p>
            <w:pPr>
              <w:pStyle w:val="Normal"/>
              <w:widowControl/>
              <w:suppressAutoHyphens w:val="true"/>
              <w:spacing w:lineRule="auto" w:line="240" w:before="0" w:after="0"/>
              <w:ind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1114" w:hRule="atLeast"/>
        </w:trPr>
        <w:tc>
          <w:tcPr>
            <w:tcW w:w="563" w:type="dxa"/>
            <w:vMerge w:val="restart"/>
            <w:tcBorders/>
          </w:tcPr>
          <w:p>
            <w:pPr>
              <w:pStyle w:val="Normal"/>
              <w:widowControl/>
              <w:suppressAutoHyphens w:val="true"/>
              <w:spacing w:lineRule="auto" w:line="240" w:before="0" w:after="0"/>
              <w:jc w:val="right"/>
              <w:rPr>
                <w:rFonts w:ascii="Times New Roman" w:hAnsi="Times New Roman" w:cs="Times New Roman"/>
              </w:rPr>
            </w:pPr>
            <w:r>
              <w:rPr>
                <w:rFonts w:eastAsia="Calibri" w:cs="Times New Roman" w:ascii="Times New Roman" w:hAnsi="Times New Roman"/>
                <w:kern w:val="0"/>
                <w:sz w:val="22"/>
                <w:szCs w:val="22"/>
                <w:lang w:val="ru-RU" w:eastAsia="en-US" w:bidi="ar-SA"/>
              </w:rPr>
              <w:t>2</w:t>
            </w:r>
          </w:p>
          <w:p>
            <w:pPr>
              <w:pStyle w:val="Normal"/>
              <w:widowControl/>
              <w:suppressAutoHyphens w:val="true"/>
              <w:spacing w:lineRule="auto" w:line="240" w:before="0" w:after="0"/>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restart"/>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Возможность изготовления дверей</w:t>
            </w:r>
          </w:p>
        </w:tc>
        <w:tc>
          <w:tcPr>
            <w:tcW w:w="2268"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Собственными силами (без привлечения третьих лиц)</w:t>
            </w:r>
          </w:p>
        </w:tc>
        <w:tc>
          <w:tcPr>
            <w:tcW w:w="113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100</w:t>
            </w:r>
          </w:p>
        </w:tc>
        <w:tc>
          <w:tcPr>
            <w:tcW w:w="992" w:type="dxa"/>
            <w:vMerge w:val="restart"/>
            <w:tcBorders/>
            <w:vAlign w:val="center"/>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0,10</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tcBorders/>
          </w:tcPr>
          <w:p>
            <w:pPr>
              <w:pStyle w:val="Normal"/>
              <w:widowControl/>
              <w:suppressAutoHyphens w:val="true"/>
              <w:spacing w:lineRule="auto" w:line="240" w:before="0" w:after="0"/>
              <w:ind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Документы, подтверждающие осуществление деятельности по производству дверей (сертификаты,  </w:t>
            </w:r>
            <w:r>
              <w:rPr>
                <w:rFonts w:eastAsia="Calibri" w:cs="Times New Roman" w:ascii="Times New Roman" w:hAnsi="Times New Roman"/>
                <w:kern w:val="0"/>
                <w:sz w:val="22"/>
                <w:szCs w:val="22"/>
                <w:shd w:fill="FFFFFF" w:val="clear"/>
                <w:lang w:val="ru-RU" w:eastAsia="en-US" w:bidi="ar-SA"/>
              </w:rPr>
              <w:t>паспорта,</w:t>
            </w:r>
            <w:r>
              <w:rPr>
                <w:rFonts w:eastAsia="Calibri" w:cs="Times New Roman" w:ascii="Times New Roman" w:hAnsi="Times New Roman"/>
                <w:kern w:val="0"/>
                <w:sz w:val="22"/>
                <w:szCs w:val="22"/>
                <w:lang w:val="ru-RU" w:eastAsia="en-US" w:bidi="ar-SA"/>
              </w:rPr>
              <w:t xml:space="preserve"> лицензии, товарные накладные проч.)</w:t>
            </w:r>
          </w:p>
        </w:tc>
      </w:tr>
      <w:tr>
        <w:trPr>
          <w:trHeight w:val="1927" w:hRule="atLeast"/>
        </w:trPr>
        <w:tc>
          <w:tcPr>
            <w:tcW w:w="563" w:type="dxa"/>
            <w:vMerge w:val="continue"/>
            <w:tcBorders/>
          </w:tcPr>
          <w:p>
            <w:pPr>
              <w:pStyle w:val="Normal"/>
              <w:widowControl/>
              <w:suppressAutoHyphens w:val="true"/>
              <w:spacing w:lineRule="auto" w:line="240" w:before="0" w:after="0"/>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С привлечением третьих лиц</w:t>
            </w:r>
          </w:p>
        </w:tc>
        <w:tc>
          <w:tcPr>
            <w:tcW w:w="113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50</w:t>
            </w:r>
          </w:p>
        </w:tc>
        <w:tc>
          <w:tcPr>
            <w:tcW w:w="992" w:type="dxa"/>
            <w:vMerge w:val="continue"/>
            <w:tcBorders/>
            <w:vAlign w:val="center"/>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tcBorders/>
          </w:tcPr>
          <w:p>
            <w:pPr>
              <w:pStyle w:val="Normal"/>
              <w:widowControl/>
              <w:suppressAutoHyphens w:val="true"/>
              <w:spacing w:lineRule="auto" w:line="240" w:before="0" w:after="0"/>
              <w:ind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t>Заключенные (действующие) договоры поставки, иные</w:t>
            </w:r>
            <w:r>
              <w:rPr>
                <w:rFonts w:eastAsia="Calibri" w:cs="Times New Roman" w:ascii="Times New Roman" w:hAnsi="Times New Roman"/>
                <w:color w:val="FF0000"/>
                <w:kern w:val="0"/>
                <w:sz w:val="22"/>
                <w:szCs w:val="22"/>
                <w:lang w:val="ru-RU" w:eastAsia="en-US" w:bidi="ar-SA"/>
              </w:rPr>
              <w:t xml:space="preserve"> </w:t>
            </w:r>
            <w:r>
              <w:rPr>
                <w:rFonts w:eastAsia="Calibri" w:cs="Times New Roman" w:ascii="Times New Roman" w:hAnsi="Times New Roman"/>
                <w:color w:val="000000"/>
                <w:kern w:val="0"/>
                <w:sz w:val="22"/>
                <w:szCs w:val="22"/>
                <w:lang w:val="ru-RU" w:eastAsia="en-US" w:bidi="ar-SA"/>
              </w:rPr>
              <w:t>договоры</w:t>
            </w:r>
            <w:r>
              <w:rPr>
                <w:rFonts w:eastAsia="Calibri" w:cs="Times New Roman" w:ascii="Times New Roman" w:hAnsi="Times New Roman"/>
                <w:kern w:val="0"/>
                <w:sz w:val="22"/>
                <w:szCs w:val="22"/>
                <w:lang w:val="ru-RU" w:eastAsia="en-US" w:bidi="ar-SA"/>
              </w:rPr>
              <w:t xml:space="preserve"> с производителями дверей, предоставляющие право на продажу дверей неопределенному кругу лиц.</w:t>
            </w:r>
          </w:p>
        </w:tc>
      </w:tr>
      <w:tr>
        <w:trPr>
          <w:trHeight w:val="9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Отсутствие возможности</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restart"/>
            <w:tcBorders/>
          </w:tcPr>
          <w:p>
            <w:pPr>
              <w:pStyle w:val="Normal"/>
              <w:widowControl/>
              <w:suppressAutoHyphens w:val="true"/>
              <w:spacing w:lineRule="auto" w:line="240" w:before="0" w:after="0"/>
              <w:jc w:val="right"/>
              <w:rPr>
                <w:rFonts w:ascii="Times New Roman" w:hAnsi="Times New Roman" w:cs="Times New Roman"/>
              </w:rPr>
            </w:pPr>
            <w:r>
              <w:rPr>
                <w:rFonts w:eastAsia="Calibri" w:cs="Times New Roman" w:ascii="Times New Roman" w:hAnsi="Times New Roman"/>
                <w:kern w:val="0"/>
                <w:sz w:val="22"/>
                <w:szCs w:val="22"/>
                <w:lang w:val="ru-RU" w:eastAsia="en-US" w:bidi="ar-SA"/>
              </w:rPr>
              <w:t>3</w:t>
            </w:r>
          </w:p>
          <w:p>
            <w:pPr>
              <w:pStyle w:val="Normal"/>
              <w:widowControl/>
              <w:suppressAutoHyphens w:val="true"/>
              <w:spacing w:lineRule="auto" w:line="240" w:before="0" w:after="0"/>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restart"/>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Ценовое предложение</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Ц</w:t>
            </w:r>
            <w:r>
              <w:rPr>
                <w:rFonts w:eastAsia="Calibri" w:cs="Times New Roman" w:ascii="Times New Roman" w:hAnsi="Times New Roman"/>
                <w:i/>
                <w:kern w:val="0"/>
                <w:sz w:val="22"/>
                <w:szCs w:val="22"/>
                <w:lang w:val="ru-RU" w:eastAsia="en-US" w:bidi="ar-SA"/>
              </w:rPr>
              <w:t>пред</w:t>
            </w:r>
            <w:r>
              <w:rPr>
                <w:rFonts w:eastAsia="Calibri" w:cs="Times New Roman" w:ascii="Times New Roman" w:hAnsi="Times New Roman"/>
                <w:kern w:val="0"/>
                <w:sz w:val="22"/>
                <w:szCs w:val="22"/>
                <w:lang w:val="ru-RU" w:eastAsia="en-US" w:bidi="ar-SA"/>
              </w:rPr>
              <w:t>. (тыс. руб.) (ценовое предложение участника конкурса)</w:t>
            </w:r>
          </w:p>
        </w:tc>
        <w:tc>
          <w:tcPr>
            <w:tcW w:w="113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992"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tcBorders/>
          </w:tcPr>
          <w:p>
            <w:pPr>
              <w:pStyle w:val="Normal"/>
              <w:widowControl/>
              <w:suppressAutoHyphens w:val="true"/>
              <w:spacing w:lineRule="auto" w:line="240" w:before="0" w:after="0"/>
              <w:ind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Конкурсное снижение-R (%):</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992" w:type="dxa"/>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 8% включительно и более</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100</w:t>
            </w:r>
          </w:p>
        </w:tc>
        <w:tc>
          <w:tcPr>
            <w:tcW w:w="992" w:type="dxa"/>
            <w:vMerge w:val="restart"/>
            <w:tcBorders/>
            <w:vAlign w:val="center"/>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t>0,45</w:t>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restart"/>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 7% включительно до 8%</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8</w:t>
            </w: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continue"/>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 6% включительно до 7%</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7</w:t>
            </w: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continue"/>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 5% включительно до 6%</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6</w:t>
            </w: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continue"/>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 4% включительно до 5%</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continue"/>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 3% включительно до 4%</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w:t>
            </w: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continue"/>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 2% включительно до 3%</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continue"/>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00"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 1% включительно до 2%</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continue"/>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15" w:hRule="atLeast"/>
        </w:trPr>
        <w:tc>
          <w:tcPr>
            <w:tcW w:w="563" w:type="dxa"/>
            <w:vMerge w:val="continue"/>
            <w:tcBorders/>
          </w:tcPr>
          <w:p>
            <w:pPr>
              <w:pStyle w:val="Normal"/>
              <w:widowControl/>
              <w:suppressAutoHyphens w:val="true"/>
              <w:spacing w:lineRule="auto" w:line="240" w:before="0" w:after="0"/>
              <w:ind w:firstLine="171"/>
              <w:jc w:val="right"/>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vMerge w:val="continue"/>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8" w:type="dxa"/>
            <w:tcBorders/>
          </w:tcPr>
          <w:p>
            <w:pPr>
              <w:pStyle w:val="Normal"/>
              <w:widowControl/>
              <w:suppressAutoHyphens w:val="true"/>
              <w:spacing w:lineRule="auto" w:line="240" w:before="0" w:after="0"/>
              <w:ind w:left="-54"/>
              <w:jc w:val="both"/>
              <w:rPr>
                <w:rFonts w:ascii="Times New Roman" w:hAnsi="Times New Roman" w:cs="Times New Roman"/>
              </w:rPr>
            </w:pPr>
            <w:r>
              <w:rPr>
                <w:rFonts w:eastAsia="Calibri" w:cs="Times New Roman" w:ascii="Times New Roman" w:hAnsi="Times New Roman"/>
                <w:kern w:val="0"/>
                <w:sz w:val="22"/>
                <w:szCs w:val="22"/>
                <w:lang w:val="ru-RU" w:eastAsia="en-US" w:bidi="ar-SA"/>
              </w:rPr>
              <w:t>от 0 до 1%</w:t>
            </w:r>
          </w:p>
        </w:tc>
        <w:tc>
          <w:tcPr>
            <w:tcW w:w="1134" w:type="dxa"/>
            <w:tcBorders/>
          </w:tcPr>
          <w:p>
            <w:pPr>
              <w:pStyle w:val="Normal"/>
              <w:widowControl/>
              <w:suppressAutoHyphens w:val="true"/>
              <w:spacing w:lineRule="auto" w:line="240" w:before="0" w:after="0"/>
              <w:ind w:firstLine="178"/>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0</w:t>
            </w:r>
          </w:p>
        </w:tc>
        <w:tc>
          <w:tcPr>
            <w:tcW w:w="992" w:type="dxa"/>
            <w:vMerge w:val="continue"/>
            <w:tcBorders/>
          </w:tcPr>
          <w:p>
            <w:pPr>
              <w:pStyle w:val="Normal"/>
              <w:widowControl/>
              <w:suppressAutoHyphens w:val="true"/>
              <w:spacing w:lineRule="auto" w:line="240" w:before="0" w:after="0"/>
              <w:ind w:hanging="4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549" w:type="dxa"/>
            <w:vMerge w:val="continue"/>
            <w:tcBorders/>
          </w:tcPr>
          <w:p>
            <w:pPr>
              <w:pStyle w:val="Normal"/>
              <w:widowControl/>
              <w:suppressAutoHyphens w:val="true"/>
              <w:spacing w:lineRule="auto" w:line="240" w:before="0" w:after="0"/>
              <w:ind w:hanging="40"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r>
        <w:trPr>
          <w:trHeight w:val="315" w:hRule="atLeast"/>
        </w:trPr>
        <w:tc>
          <w:tcPr>
            <w:tcW w:w="563"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2269"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ИТОГО</w:t>
            </w:r>
          </w:p>
        </w:tc>
        <w:tc>
          <w:tcPr>
            <w:tcW w:w="2268"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c>
          <w:tcPr>
            <w:tcW w:w="1134" w:type="dxa"/>
            <w:tcBorders/>
          </w:tcPr>
          <w:p>
            <w:pPr>
              <w:pStyle w:val="Normal"/>
              <w:widowControl/>
              <w:suppressAutoHyphens w:val="true"/>
              <w:spacing w:lineRule="auto" w:line="240" w:before="0" w:after="0"/>
              <w:jc w:val="both"/>
              <w:rPr>
                <w:rFonts w:ascii="Times New Roman" w:hAnsi="Times New Roman" w:cs="Times New Roman"/>
                <w:lang w:val="en-US"/>
              </w:rPr>
            </w:pPr>
            <w:r>
              <w:rPr>
                <w:rFonts w:eastAsia="Calibri" w:cs="Times New Roman" w:ascii="Times New Roman" w:hAnsi="Times New Roman"/>
                <w:kern w:val="0"/>
                <w:sz w:val="22"/>
                <w:szCs w:val="22"/>
                <w:lang w:val="en-US" w:eastAsia="en-US" w:bidi="ar-SA"/>
              </w:rPr>
            </w:r>
          </w:p>
        </w:tc>
        <w:tc>
          <w:tcPr>
            <w:tcW w:w="992" w:type="dxa"/>
            <w:tcBorders/>
            <w:vAlign w:val="center"/>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1,00</w:t>
            </w:r>
          </w:p>
        </w:tc>
        <w:tc>
          <w:tcPr>
            <w:tcW w:w="2549" w:type="dxa"/>
            <w:tcBorders/>
          </w:tcPr>
          <w:p>
            <w:pPr>
              <w:pStyle w:val="Normal"/>
              <w:widowControl/>
              <w:suppressAutoHyphens w:val="true"/>
              <w:spacing w:lineRule="auto" w:line="240" w:before="0" w:after="0"/>
              <w:ind w:right="175"/>
              <w:jc w:val="both"/>
              <w:rPr>
                <w:rFonts w:ascii="Times New Roman" w:hAnsi="Times New Roman" w:cs="Times New Roman"/>
              </w:rPr>
            </w:pPr>
            <w:r>
              <w:rPr>
                <w:rFonts w:eastAsia="Calibri" w:cs="Times New Roman" w:ascii="Times New Roman" w:hAnsi="Times New Roman"/>
                <w:kern w:val="0"/>
                <w:sz w:val="22"/>
                <w:szCs w:val="22"/>
                <w:lang w:val="ru-RU" w:eastAsia="en-US" w:bidi="ar-SA"/>
              </w:rPr>
            </w:r>
          </w:p>
        </w:tc>
      </w:tr>
    </w:tbl>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Сумма взвешенных оценок по всем максимальным значениям альтернатив составляет 100 баллов. </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По результатам значений итогового рейтинга к определению победителя допускается участники, набравшие не менее 51 балла.</w:t>
      </w:r>
    </w:p>
    <w:p>
      <w:pPr>
        <w:pStyle w:val="Normal"/>
        <w:spacing w:lineRule="auto" w:line="240" w:before="0" w:after="0"/>
        <w:ind w:firstLine="709"/>
        <w:jc w:val="both"/>
        <w:rPr>
          <w:rFonts w:ascii="Times New Roman" w:hAnsi="Times New Roman" w:cs="Times New Roman"/>
        </w:rPr>
      </w:pPr>
      <w:r>
        <w:rPr>
          <w:rFonts w:eastAsia="Times New Roman" w:cs="Times New Roman" w:ascii="Times New Roman" w:hAnsi="Times New Roman"/>
        </w:rPr>
        <w:t>Победителем конкурса признается участник закупки, набравший наибольшее количество баллов, но не менее 51 балла.</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Каждый рассматриваемый критерий конкурсного предложения оценивается по стобалльной шкале. С этой целью значения оцениваемого критерия в натуральных единицах измерения ранжируются (т.е. расставляются в порядке уменьшения их значимости) для всех участников.</w:t>
      </w:r>
    </w:p>
    <w:p>
      <w:pPr>
        <w:pStyle w:val="Normal"/>
        <w:spacing w:lineRule="auto" w:line="240" w:before="0" w:after="0"/>
        <w:ind w:firstLine="709"/>
        <w:jc w:val="both"/>
        <w:rPr/>
      </w:pPr>
      <w:r>
        <w:rPr>
          <w:rFonts w:cs="Times New Roman" w:ascii="Times New Roman" w:hAnsi="Times New Roman"/>
        </w:rPr>
        <w:t>Для каждого критерия определяется коэффициент значимости веса, отражающий относительную значимость критерия. (Таблица №1)</w:t>
      </w:r>
    </w:p>
    <w:p>
      <w:pPr>
        <w:pStyle w:val="Normal"/>
        <w:spacing w:lineRule="auto" w:line="240"/>
        <w:ind w:firstLine="709"/>
        <w:jc w:val="both"/>
        <w:rPr>
          <w:rFonts w:ascii="Times New Roman" w:hAnsi="Times New Roman" w:cs="Times New Roman"/>
        </w:rPr>
      </w:pPr>
      <w:r>
        <w:rPr>
          <w:rFonts w:cs="Times New Roman" w:ascii="Times New Roman" w:hAnsi="Times New Roman"/>
        </w:rPr>
        <w:t>В случае установления для каких-либо из критериев подкритериев, оценка альтернатив производится аналогично по каждому подкритерию. Общей оценкой баллов по критерию будет являться сумма баллов по его подкритериям, при этом учитывается также установленный весовой коэффициент критерия (применяется к сумме оценок подкритериев).</w:t>
      </w:r>
    </w:p>
    <w:p>
      <w:pPr>
        <w:pStyle w:val="Normal"/>
        <w:spacing w:lineRule="auto" w:line="240"/>
        <w:ind w:firstLine="709"/>
        <w:jc w:val="both"/>
        <w:rPr>
          <w:rFonts w:ascii="Times New Roman" w:hAnsi="Times New Roman" w:cs="Times New Roman"/>
        </w:rPr>
      </w:pPr>
      <w:r>
        <w:rPr>
          <w:rFonts w:cs="Times New Roman" w:ascii="Times New Roman" w:hAnsi="Times New Roman"/>
        </w:rPr>
        <w:t>Взвешенная оценка критерия равна произведению балла критерия на его вес. Сумма взвешенных оценок всех критериев составляет итоговый рейтинг.</w:t>
      </w:r>
    </w:p>
    <w:p>
      <w:pPr>
        <w:pStyle w:val="Normal"/>
        <w:spacing w:lineRule="auto" w:line="240"/>
        <w:ind w:firstLine="709"/>
        <w:jc w:val="both"/>
        <w:rPr>
          <w:rFonts w:ascii="Times New Roman" w:hAnsi="Times New Roman" w:cs="Times New Roman"/>
        </w:rPr>
      </w:pPr>
      <w:r>
        <w:rPr>
          <w:rFonts w:cs="Times New Roman" w:ascii="Times New Roman" w:hAnsi="Times New Roman"/>
        </w:rPr>
        <w:t>IR =ВО1+ ВО2+ ВО3+ ВО4;</w:t>
      </w:r>
    </w:p>
    <w:p>
      <w:pPr>
        <w:pStyle w:val="Normal"/>
        <w:spacing w:lineRule="auto" w:line="240"/>
        <w:ind w:firstLine="709"/>
        <w:jc w:val="both"/>
        <w:rPr>
          <w:rFonts w:ascii="Times New Roman" w:hAnsi="Times New Roman" w:cs="Times New Roman"/>
        </w:rPr>
      </w:pPr>
      <w:r>
        <w:rPr>
          <w:rFonts w:cs="Times New Roman" w:ascii="Times New Roman" w:hAnsi="Times New Roman"/>
        </w:rPr>
        <w:t>где:</w:t>
      </w:r>
    </w:p>
    <w:p>
      <w:pPr>
        <w:pStyle w:val="Normal"/>
        <w:spacing w:lineRule="auto" w:line="240"/>
        <w:ind w:firstLine="709"/>
        <w:jc w:val="both"/>
        <w:rPr>
          <w:rFonts w:ascii="Times New Roman" w:hAnsi="Times New Roman" w:cs="Times New Roman"/>
        </w:rPr>
      </w:pPr>
      <w:r>
        <w:rPr>
          <w:rFonts w:cs="Times New Roman" w:ascii="Times New Roman" w:hAnsi="Times New Roman"/>
        </w:rPr>
        <w:t xml:space="preserve">IR-итоговый рейтинг; </w:t>
      </w:r>
    </w:p>
    <w:p>
      <w:pPr>
        <w:pStyle w:val="Normal"/>
        <w:spacing w:lineRule="auto" w:line="240"/>
        <w:ind w:firstLine="709"/>
        <w:jc w:val="both"/>
        <w:rPr>
          <w:rFonts w:ascii="Times New Roman" w:hAnsi="Times New Roman" w:cs="Times New Roman"/>
        </w:rPr>
      </w:pPr>
      <w:r>
        <w:rPr>
          <w:rFonts w:cs="Times New Roman" w:ascii="Times New Roman" w:hAnsi="Times New Roman"/>
        </w:rPr>
        <w:t>ВОn- взвешенная оценка критерия</w:t>
      </w:r>
    </w:p>
    <w:p>
      <w:pPr>
        <w:pStyle w:val="Normal"/>
        <w:spacing w:lineRule="auto" w:line="240"/>
        <w:ind w:firstLine="709"/>
        <w:jc w:val="both"/>
        <w:rPr>
          <w:rFonts w:ascii="Times New Roman" w:hAnsi="Times New Roman" w:cs="Times New Roman"/>
        </w:rPr>
      </w:pPr>
      <w:r>
        <w:rPr>
          <w:rFonts w:cs="Times New Roman" w:ascii="Times New Roman" w:hAnsi="Times New Roman"/>
        </w:rPr>
        <w:t>Договор заключается с участником конкурса, заявке которого присвоен наивысший итоговый рейтинг (IR).</w:t>
      </w:r>
    </w:p>
    <w:p>
      <w:pPr>
        <w:pStyle w:val="Normal"/>
        <w:spacing w:lineRule="auto" w:line="240"/>
        <w:ind w:firstLine="709"/>
        <w:jc w:val="both"/>
        <w:rPr>
          <w:rFonts w:ascii="Times New Roman" w:hAnsi="Times New Roman" w:cs="Times New Roman"/>
        </w:rPr>
      </w:pPr>
      <w:r>
        <w:rPr>
          <w:rFonts w:cs="Times New Roman" w:ascii="Times New Roman" w:hAnsi="Times New Roman"/>
        </w:rPr>
        <w:t xml:space="preserve">Оценка альтернатив по </w:t>
      </w:r>
      <w:r>
        <w:rPr>
          <w:rFonts w:cs="Times New Roman" w:ascii="Times New Roman" w:hAnsi="Times New Roman"/>
          <w:b/>
        </w:rPr>
        <w:t>ценовому</w:t>
      </w:r>
      <w:r>
        <w:rPr>
          <w:rFonts w:cs="Times New Roman" w:ascii="Times New Roman" w:hAnsi="Times New Roman"/>
        </w:rPr>
        <w:t xml:space="preserve"> критерию зависит от того, в каком диапазоне окажется процент конкурсного снижения цены заявки. Процент конкурсного снижения рассчитывается по следующей формуле:</w:t>
      </w:r>
    </w:p>
    <w:p>
      <w:pPr>
        <w:pStyle w:val="Normal"/>
        <w:spacing w:lineRule="auto" w:line="240"/>
        <w:ind w:firstLine="709"/>
        <w:jc w:val="both"/>
        <w:rPr>
          <w:rFonts w:ascii="Times New Roman" w:hAnsi="Times New Roman" w:eastAsia="" w:cs="Times New Roman" w:eastAsiaTheme="minorEastAsia"/>
        </w:rPr>
      </w:pPr>
      <w:r>
        <w:rPr/>
      </w:r>
      <m:oMath xmlns:m="http://schemas.openxmlformats.org/officeDocument/2006/math">
        <m:r>
          <w:rPr>
            <w:rFonts w:ascii="Cambria Math" w:hAnsi="Cambria Math"/>
          </w:rPr>
          <m:t xml:space="preserve">R</m:t>
        </m:r>
        <m:r>
          <w:rPr>
            <w:rFonts w:ascii="Cambria Math" w:hAnsi="Cambria Math"/>
          </w:rPr>
          <m:t xml:space="preserve">,</m:t>
        </m:r>
        <m:r>
          <m:rPr>
            <m:lit/>
            <m:nor/>
          </m:rPr>
          <w:rPr>
            <w:rFonts w:ascii="Cambria Math" w:hAnsi="Cambria Math"/>
          </w:rPr>
          <m:t xml:space="preserve">%</m:t>
        </m:r>
        <m:r>
          <w:rPr>
            <w:rFonts w:ascii="Cambria Math" w:hAnsi="Cambria Math"/>
          </w:rPr>
          <m:t xml:space="preserve">=</m:t>
        </m:r>
        <m:f>
          <m:num>
            <m:r>
              <w:rPr>
                <w:rFonts w:ascii="Cambria Math" w:hAnsi="Cambria Math"/>
              </w:rPr>
              <m:t xml:space="preserve">НМЦД</m:t>
            </m:r>
            <m:r>
              <w:rPr>
                <w:rFonts w:ascii="Cambria Math" w:hAnsi="Cambria Math"/>
              </w:rPr>
              <m:t xml:space="preserve">−</m:t>
            </m:r>
            <m:r>
              <w:rPr>
                <w:rFonts w:ascii="Cambria Math" w:hAnsi="Cambria Math"/>
              </w:rPr>
              <m:t xml:space="preserve">Цпред</m:t>
            </m:r>
            <m:r>
              <w:rPr>
                <w:rFonts w:ascii="Cambria Math" w:hAnsi="Cambria Math"/>
              </w:rPr>
              <m:t xml:space="preserve">.</m:t>
            </m:r>
          </m:num>
          <m:den>
            <m:r>
              <w:rPr>
                <w:rFonts w:ascii="Cambria Math" w:hAnsi="Cambria Math"/>
              </w:rPr>
              <m:t xml:space="preserve">НМЦД</m:t>
            </m:r>
          </m:den>
        </m:f>
        <m:r>
          <w:rPr>
            <w:rFonts w:ascii="Cambria Math" w:hAnsi="Cambria Math"/>
          </w:rPr>
          <m:t xml:space="preserve">∗</m:t>
        </m:r>
        <m:r>
          <w:rPr>
            <w:rFonts w:ascii="Cambria Math" w:hAnsi="Cambria Math"/>
          </w:rPr>
          <m:t xml:space="preserve">100</m:t>
        </m:r>
      </m:oMath>
      <w:r>
        <w:rPr>
          <w:rFonts w:eastAsia="" w:cs="Times New Roman" w:ascii="Times New Roman" w:hAnsi="Times New Roman" w:eastAsiaTheme="minorEastAsia"/>
        </w:rPr>
        <w:t>;</w:t>
      </w:r>
    </w:p>
    <w:p>
      <w:pPr>
        <w:pStyle w:val="Normal"/>
        <w:spacing w:lineRule="auto" w:line="240"/>
        <w:ind w:firstLine="709"/>
        <w:jc w:val="both"/>
        <w:rPr>
          <w:rFonts w:ascii="Times New Roman" w:hAnsi="Times New Roman" w:cs="Times New Roman"/>
        </w:rPr>
      </w:pPr>
      <w:r>
        <w:rPr>
          <w:rFonts w:eastAsia="" w:cs="Times New Roman" w:ascii="Times New Roman" w:hAnsi="Times New Roman" w:eastAsiaTheme="minorEastAsia"/>
        </w:rPr>
        <w:t>где</w:t>
      </w:r>
    </w:p>
    <w:p>
      <w:pPr>
        <w:pStyle w:val="Normal"/>
        <w:spacing w:lineRule="auto" w:line="240"/>
        <w:ind w:firstLine="709"/>
        <w:jc w:val="both"/>
        <w:rPr>
          <w:rFonts w:ascii="Times New Roman" w:hAnsi="Times New Roman" w:cs="Times New Roman"/>
        </w:rPr>
      </w:pPr>
      <w:r>
        <w:rPr>
          <w:rFonts w:cs="Times New Roman" w:ascii="Times New Roman" w:hAnsi="Times New Roman"/>
        </w:rPr>
        <w:t>R -конкурсное снижение цены (%),</w:t>
      </w:r>
    </w:p>
    <w:p>
      <w:pPr>
        <w:pStyle w:val="Normal"/>
        <w:spacing w:lineRule="auto" w:line="240"/>
        <w:ind w:firstLine="709"/>
        <w:jc w:val="both"/>
        <w:rPr>
          <w:rFonts w:ascii="Times New Roman" w:hAnsi="Times New Roman" w:cs="Times New Roman"/>
        </w:rPr>
      </w:pPr>
      <w:r>
        <w:rPr>
          <w:rFonts w:cs="Times New Roman" w:ascii="Times New Roman" w:hAnsi="Times New Roman"/>
        </w:rPr>
        <w:t>НМЦД - начальная максимальная цена договора,</w:t>
      </w:r>
    </w:p>
    <w:p>
      <w:pPr>
        <w:pStyle w:val="Normal"/>
        <w:spacing w:lineRule="auto" w:line="240"/>
        <w:ind w:firstLine="709"/>
        <w:jc w:val="both"/>
        <w:rPr>
          <w:rFonts w:ascii="Times New Roman" w:hAnsi="Times New Roman" w:cs="Times New Roman"/>
        </w:rPr>
      </w:pPr>
      <w:r>
        <w:rPr>
          <w:rFonts w:cs="Times New Roman" w:ascii="Times New Roman" w:hAnsi="Times New Roman"/>
        </w:rPr>
        <w:t>Ц</w:t>
      </w:r>
      <w:r>
        <w:rPr>
          <w:rFonts w:cs="Times New Roman" w:ascii="Times New Roman" w:hAnsi="Times New Roman"/>
          <w:i/>
        </w:rPr>
        <w:t>пред</w:t>
      </w:r>
      <w:r>
        <w:rPr>
          <w:rFonts w:cs="Times New Roman" w:ascii="Times New Roman" w:hAnsi="Times New Roman"/>
        </w:rPr>
        <w:t xml:space="preserve"> -предложенная цена участника конкурса.</w:t>
      </w:r>
    </w:p>
    <w:p>
      <w:pPr>
        <w:pStyle w:val="Normal"/>
        <w:spacing w:lineRule="auto" w:line="240"/>
        <w:ind w:firstLine="709"/>
        <w:jc w:val="both"/>
        <w:rPr>
          <w:rFonts w:ascii="Times New Roman" w:hAnsi="Times New Roman" w:cs="Times New Roman"/>
        </w:rPr>
      </w:pPr>
      <w:r>
        <w:rPr>
          <w:rFonts w:cs="Times New Roman" w:ascii="Times New Roman" w:hAnsi="Times New Roman"/>
        </w:rPr>
        <w:t>Полученному значению R присваивается балл и учитывается при расчете взвешенной оценки. Дробное значение взвешенной оценки округляется до двух десятичных знаков после запятой по математическим правилам округления.</w:t>
      </w:r>
    </w:p>
    <w:p>
      <w:pPr>
        <w:pStyle w:val="Normal"/>
        <w:spacing w:lineRule="auto" w:line="276" w:before="0" w:after="120"/>
        <w:ind w:firstLine="709"/>
        <w:jc w:val="center"/>
        <w:rPr>
          <w:rFonts w:ascii="Times New Roman" w:hAnsi="Times New Roman" w:eastAsia="Times New Roman" w:cs="Times New Roman"/>
          <w:lang w:eastAsia="ru-RU"/>
        </w:rPr>
      </w:pPr>
      <w:r>
        <w:rPr>
          <w:rFonts w:eastAsia="Times New Roman" w:cs="Times New Roman" w:ascii="Times New Roman" w:hAnsi="Times New Roman"/>
          <w:lang w:eastAsia="ru-RU"/>
        </w:rPr>
        <w:t>Обоснование начальной максимальной цены договора.</w:t>
      </w:r>
    </w:p>
    <w:p>
      <w:pPr>
        <w:pStyle w:val="Normal"/>
        <w:numPr>
          <w:ilvl w:val="0"/>
          <w:numId w:val="2"/>
        </w:numPr>
        <w:spacing w:lineRule="auto" w:line="276" w:before="0" w:after="120"/>
        <w:ind w:firstLine="709" w:lef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Используемый метод определения начальной (максимальной) цены договора с обоснованием-проектно-сметный метод.</w:t>
      </w:r>
    </w:p>
    <w:p>
      <w:pPr>
        <w:pStyle w:val="Normal"/>
        <w:numPr>
          <w:ilvl w:val="0"/>
          <w:numId w:val="2"/>
        </w:numPr>
        <w:spacing w:lineRule="auto" w:line="276" w:before="0" w:after="120"/>
        <w:ind w:firstLine="709" w:lef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Начальная (максимальная) цена включает в себя расходы на выполнение работ, предусмотренных настоящей конкурсной документацией, в рамках строительства объекта капитального строительства «Агропромышленный парк Черногорский». </w:t>
      </w:r>
    </w:p>
    <w:p>
      <w:pPr>
        <w:pStyle w:val="Normal"/>
        <w:keepNext w:val="true"/>
        <w:spacing w:lineRule="auto" w:line="240" w:before="0" w:after="0"/>
        <w:jc w:val="right"/>
        <w:rPr>
          <w:i/>
          <w:i/>
          <w:iCs/>
          <w:color w:themeColor="text2" w:val="44546A"/>
          <w:sz w:val="18"/>
          <w:szCs w:val="18"/>
        </w:rPr>
      </w:pPr>
      <w:r>
        <w:rPr>
          <w:i/>
          <w:iCs/>
          <w:color w:themeColor="text2" w:val="44546A"/>
          <w:sz w:val="18"/>
          <w:szCs w:val="18"/>
        </w:rPr>
        <w:t xml:space="preserve">Таблица </w:t>
      </w:r>
      <w:r>
        <w:rPr>
          <w:i/>
          <w:iCs/>
          <w:color w:themeColor="text2" w:val="44546A"/>
          <w:sz w:val="18"/>
          <w:szCs w:val="18"/>
        </w:rPr>
        <w:fldChar w:fldCharType="begin"/>
      </w:r>
      <w:r>
        <w:rPr>
          <w:sz w:val="18"/>
          <w:i/>
          <w:szCs w:val="18"/>
          <w:iCs/>
          <w:color w:themeColor="text2" w:val="44546A"/>
        </w:rPr>
        <w:instrText xml:space="preserve"> SEQ Таблица \* ARABIC </w:instrText>
      </w:r>
      <w:r>
        <w:rPr>
          <w:sz w:val="18"/>
          <w:i/>
          <w:szCs w:val="18"/>
          <w:iCs/>
          <w:color w:themeColor="text2" w:val="44546A"/>
        </w:rPr>
        <w:fldChar w:fldCharType="separate"/>
      </w:r>
      <w:r>
        <w:rPr>
          <w:sz w:val="18"/>
          <w:i/>
          <w:szCs w:val="18"/>
          <w:iCs/>
          <w:color w:themeColor="text2" w:val="44546A"/>
        </w:rPr>
        <w:t>2</w:t>
      </w:r>
      <w:r>
        <w:rPr>
          <w:sz w:val="18"/>
          <w:i/>
          <w:szCs w:val="18"/>
          <w:iCs/>
          <w:color w:themeColor="text2" w:val="44546A"/>
        </w:rPr>
        <w:fldChar w:fldCharType="end"/>
      </w:r>
      <w:r>
        <w:rPr>
          <w:i/>
          <w:iCs/>
          <w:color w:themeColor="text2" w:val="44546A"/>
          <w:sz w:val="18"/>
          <w:szCs w:val="18"/>
        </w:rPr>
        <w:t xml:space="preserve"> Начальная максимальная цена договора</w:t>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6165"/>
        <w:gridCol w:w="1518"/>
        <w:gridCol w:w="1672"/>
      </w:tblGrid>
      <w:tr>
        <w:trPr>
          <w:trHeight w:val="849" w:hRule="atLeast"/>
        </w:trPr>
        <w:tc>
          <w:tcPr>
            <w:tcW w:w="61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highlight w:val="yellow"/>
                <w:lang w:eastAsia="ru-RU"/>
              </w:rPr>
            </w:pPr>
            <w:r>
              <w:rPr>
                <w:rFonts w:eastAsia="Times New Roman" w:cs="Times New Roman" w:ascii="Times New Roman" w:hAnsi="Times New Roman"/>
                <w:color w:val="000000"/>
                <w:sz w:val="20"/>
                <w:szCs w:val="20"/>
                <w:lang w:eastAsia="ru-RU"/>
              </w:rPr>
              <w:t>Наименование систем налогообложения участника конкурса</w:t>
            </w:r>
          </w:p>
        </w:tc>
        <w:tc>
          <w:tcPr>
            <w:tcW w:w="15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highlight w:val="yellow"/>
                <w:lang w:eastAsia="ru-RU"/>
              </w:rPr>
            </w:pPr>
            <w:r>
              <w:rPr>
                <w:rFonts w:eastAsia="Times New Roman" w:cs="Times New Roman" w:ascii="Times New Roman" w:hAnsi="Times New Roman"/>
                <w:color w:val="000000"/>
                <w:sz w:val="20"/>
                <w:szCs w:val="20"/>
                <w:lang w:eastAsia="ru-RU"/>
              </w:rPr>
              <w:t>Единица измерения</w:t>
            </w:r>
          </w:p>
        </w:tc>
        <w:tc>
          <w:tcPr>
            <w:tcW w:w="1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Начальная максимальная цена договора</w:t>
            </w:r>
          </w:p>
          <w:p>
            <w:pPr>
              <w:pStyle w:val="Normal"/>
              <w:spacing w:lineRule="auto" w:line="240" w:before="0" w:after="0"/>
              <w:rPr>
                <w:rFonts w:ascii="Times New Roman" w:hAnsi="Times New Roman" w:eastAsia="Times New Roman" w:cs="Times New Roman"/>
                <w:color w:val="000000"/>
                <w:sz w:val="20"/>
                <w:szCs w:val="20"/>
                <w:highlight w:val="yellow"/>
                <w:lang w:eastAsia="ru-RU"/>
              </w:rPr>
            </w:pPr>
            <w:r>
              <w:rPr>
                <w:rFonts w:eastAsia="Times New Roman" w:cs="Times New Roman" w:ascii="Times New Roman" w:hAnsi="Times New Roman"/>
                <w:color w:val="000000"/>
                <w:sz w:val="20"/>
                <w:szCs w:val="20"/>
                <w:lang w:eastAsia="ru-RU"/>
              </w:rPr>
              <w:t>(НМЦД)</w:t>
            </w:r>
          </w:p>
        </w:tc>
      </w:tr>
      <w:tr>
        <w:trPr>
          <w:trHeight w:val="260" w:hRule="atLeast"/>
        </w:trPr>
        <w:tc>
          <w:tcPr>
            <w:tcW w:w="616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w:t>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w:t>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w:t>
            </w:r>
          </w:p>
        </w:tc>
      </w:tr>
      <w:tr>
        <w:trPr>
          <w:trHeight w:val="260" w:hRule="atLeast"/>
        </w:trPr>
        <w:tc>
          <w:tcPr>
            <w:tcW w:w="616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Стоимость без учета НДС</w:t>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Times New Roman" w:cs="Times New Roman" w:ascii="Times New Roman" w:hAnsi="Times New Roman"/>
                <w:color w:val="000000"/>
                <w:sz w:val="20"/>
                <w:szCs w:val="20"/>
                <w:lang w:eastAsia="ru-RU"/>
              </w:rPr>
              <w:t>руб.</w:t>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7347185,64</w:t>
            </w:r>
          </w:p>
        </w:tc>
      </w:tr>
      <w:tr>
        <w:trPr>
          <w:trHeight w:val="260" w:hRule="atLeast"/>
        </w:trPr>
        <w:tc>
          <w:tcPr>
            <w:tcW w:w="616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i/>
                <w:i/>
                <w:color w:val="000000"/>
                <w:sz w:val="20"/>
                <w:szCs w:val="20"/>
                <w:lang w:eastAsia="ru-RU"/>
              </w:rPr>
            </w:pPr>
            <w:r>
              <w:rPr>
                <w:rFonts w:eastAsia="Times New Roman" w:cs="Times New Roman" w:ascii="Times New Roman" w:hAnsi="Times New Roman"/>
                <w:i/>
                <w:color w:val="000000"/>
                <w:sz w:val="20"/>
                <w:szCs w:val="20"/>
                <w:lang w:eastAsia="ru-RU"/>
              </w:rPr>
              <w:t>Участник, применяющий ОСНО</w:t>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r>
          </w:p>
        </w:tc>
      </w:tr>
      <w:tr>
        <w:trPr>
          <w:trHeight w:val="260" w:hRule="atLeast"/>
        </w:trPr>
        <w:tc>
          <w:tcPr>
            <w:tcW w:w="616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НДС 22%</w:t>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Times New Roman" w:cs="Times New Roman" w:ascii="Times New Roman" w:hAnsi="Times New Roman"/>
                <w:color w:val="000000"/>
                <w:sz w:val="20"/>
                <w:szCs w:val="20"/>
                <w:lang w:eastAsia="ru-RU"/>
              </w:rPr>
              <w:t>руб.</w:t>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1616380,84</w:t>
            </w:r>
          </w:p>
        </w:tc>
      </w:tr>
      <w:tr>
        <w:trPr>
          <w:trHeight w:val="260" w:hRule="atLeast"/>
        </w:trPr>
        <w:tc>
          <w:tcPr>
            <w:tcW w:w="616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Стоимость с учетом НДС (НМЦД</w:t>
            </w:r>
            <w:r>
              <w:rPr>
                <w:rFonts w:eastAsia="Times New Roman" w:cs="Times New Roman" w:ascii="Times New Roman" w:hAnsi="Times New Roman"/>
                <w:b/>
                <w:color w:val="000000"/>
                <w:sz w:val="20"/>
                <w:szCs w:val="20"/>
                <w:vertAlign w:val="subscript"/>
                <w:lang w:eastAsia="ru-RU"/>
              </w:rPr>
              <w:t>22%</w:t>
            </w:r>
            <w:r>
              <w:rPr>
                <w:rFonts w:eastAsia="Times New Roman" w:cs="Times New Roman" w:ascii="Times New Roman" w:hAnsi="Times New Roman"/>
                <w:b/>
                <w:color w:val="000000"/>
                <w:sz w:val="20"/>
                <w:szCs w:val="20"/>
                <w:lang w:eastAsia="ru-RU"/>
              </w:rPr>
              <w:t>)</w:t>
            </w:r>
          </w:p>
        </w:tc>
        <w:tc>
          <w:tcPr>
            <w:tcW w:w="1518"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color w:val="000000"/>
                <w:sz w:val="20"/>
                <w:szCs w:val="20"/>
                <w:lang w:eastAsia="ru-RU"/>
              </w:rPr>
              <w:t xml:space="preserve"> </w:t>
            </w:r>
            <w:r>
              <w:rPr>
                <w:rFonts w:eastAsia="Times New Roman" w:cs="Times New Roman" w:ascii="Times New Roman" w:hAnsi="Times New Roman"/>
                <w:color w:val="000000"/>
                <w:sz w:val="20"/>
                <w:szCs w:val="20"/>
                <w:lang w:eastAsia="ru-RU"/>
              </w:rPr>
              <w:t>руб.</w:t>
            </w:r>
          </w:p>
        </w:tc>
        <w:tc>
          <w:tcPr>
            <w:tcW w:w="167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8963566,48</w:t>
            </w:r>
          </w:p>
        </w:tc>
      </w:tr>
      <w:tr>
        <w:trPr>
          <w:trHeight w:val="260" w:hRule="atLeast"/>
        </w:trPr>
        <w:tc>
          <w:tcPr>
            <w:tcW w:w="616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Участник, применяющий УСН и не являющийся плательщиком НДС</w:t>
            </w:r>
          </w:p>
        </w:tc>
        <w:tc>
          <w:tcPr>
            <w:tcW w:w="1518"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67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0" w:hRule="atLeast"/>
        </w:trPr>
        <w:tc>
          <w:tcPr>
            <w:tcW w:w="616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Возмещение НДС при УСН</w:t>
            </w:r>
          </w:p>
        </w:tc>
        <w:tc>
          <w:tcPr>
            <w:tcW w:w="1518"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sz w:val="20"/>
                <w:szCs w:val="20"/>
                <w:lang w:eastAsia="ru-RU"/>
              </w:rPr>
              <w:t>руб.</w:t>
            </w:r>
          </w:p>
        </w:tc>
        <w:tc>
          <w:tcPr>
            <w:tcW w:w="167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1271520,09</w:t>
            </w:r>
          </w:p>
        </w:tc>
      </w:tr>
      <w:tr>
        <w:trPr>
          <w:trHeight w:val="437" w:hRule="atLeast"/>
        </w:trPr>
        <w:tc>
          <w:tcPr>
            <w:tcW w:w="616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 xml:space="preserve">Стоимость по упрощённой системе налогообложения (НМЦД </w:t>
            </w:r>
            <w:r>
              <w:rPr>
                <w:rFonts w:eastAsia="Times New Roman" w:cs="Times New Roman" w:ascii="Times New Roman" w:hAnsi="Times New Roman"/>
                <w:b/>
                <w:color w:val="000000"/>
                <w:sz w:val="20"/>
                <w:szCs w:val="20"/>
                <w:vertAlign w:val="subscript"/>
                <w:lang w:eastAsia="ru-RU"/>
              </w:rPr>
              <w:t>без НДС</w:t>
            </w:r>
            <w:r>
              <w:rPr>
                <w:rFonts w:eastAsia="Times New Roman" w:cs="Times New Roman" w:ascii="Times New Roman" w:hAnsi="Times New Roman"/>
                <w:b/>
                <w:color w:val="000000"/>
                <w:sz w:val="20"/>
                <w:szCs w:val="20"/>
                <w:lang w:eastAsia="ru-RU"/>
              </w:rPr>
              <w:t>)</w:t>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Times New Roman" w:cs="Times New Roman" w:ascii="Times New Roman" w:hAnsi="Times New Roman"/>
                <w:color w:val="000000"/>
                <w:sz w:val="20"/>
                <w:szCs w:val="20"/>
                <w:lang w:eastAsia="ru-RU"/>
              </w:rPr>
              <w:t>руб.</w:t>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sz w:val="20"/>
                <w:szCs w:val="20"/>
                <w:lang w:eastAsia="ru-RU"/>
              </w:rPr>
              <w:t>8618705,73</w:t>
            </w:r>
          </w:p>
        </w:tc>
      </w:tr>
      <w:tr>
        <w:trPr>
          <w:trHeight w:val="245" w:hRule="atLeast"/>
        </w:trPr>
        <w:tc>
          <w:tcPr>
            <w:tcW w:w="616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i/>
                <w:i/>
                <w:color w:val="000000"/>
                <w:sz w:val="20"/>
                <w:szCs w:val="20"/>
                <w:lang w:eastAsia="ru-RU"/>
              </w:rPr>
            </w:pPr>
            <w:r>
              <w:rPr>
                <w:rFonts w:eastAsia="Times New Roman" w:cs="Times New Roman" w:ascii="Times New Roman" w:hAnsi="Times New Roman"/>
                <w:i/>
                <w:color w:val="000000"/>
                <w:sz w:val="20"/>
                <w:szCs w:val="20"/>
                <w:lang w:eastAsia="ru-RU"/>
              </w:rPr>
              <w:t>Участник, применяющий УСН и являющийся плательщиком НДС 5%</w:t>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rHeight w:val="411" w:hRule="atLeast"/>
        </w:trPr>
        <w:tc>
          <w:tcPr>
            <w:tcW w:w="616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НДС 5%</w:t>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Times New Roman" w:cs="Times New Roman" w:ascii="Times New Roman" w:hAnsi="Times New Roman"/>
                <w:color w:val="000000"/>
                <w:sz w:val="20"/>
                <w:szCs w:val="20"/>
                <w:lang w:eastAsia="ru-RU"/>
              </w:rPr>
              <w:t>руб.</w:t>
            </w:r>
          </w:p>
        </w:tc>
        <w:tc>
          <w:tcPr>
            <w:tcW w:w="167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430935,29</w:t>
            </w:r>
          </w:p>
        </w:tc>
      </w:tr>
      <w:tr>
        <w:trPr>
          <w:trHeight w:val="329" w:hRule="atLeast"/>
        </w:trPr>
        <w:tc>
          <w:tcPr>
            <w:tcW w:w="61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Стоимость с учетом НДС 5% (НМЦД</w:t>
            </w:r>
            <w:r>
              <w:rPr>
                <w:rFonts w:eastAsia="Times New Roman" w:cs="Times New Roman" w:ascii="Times New Roman" w:hAnsi="Times New Roman"/>
                <w:b/>
                <w:color w:val="000000"/>
                <w:sz w:val="20"/>
                <w:szCs w:val="20"/>
                <w:vertAlign w:val="subscript"/>
                <w:lang w:eastAsia="ru-RU"/>
              </w:rPr>
              <w:t>5%</w:t>
            </w:r>
            <w:r>
              <w:rPr>
                <w:rFonts w:eastAsia="Times New Roman" w:cs="Times New Roman" w:ascii="Times New Roman" w:hAnsi="Times New Roman"/>
                <w:b/>
                <w:color w:val="000000"/>
                <w:sz w:val="20"/>
                <w:szCs w:val="20"/>
                <w:lang w:eastAsia="ru-RU"/>
              </w:rPr>
              <w:t>)</w:t>
            </w:r>
          </w:p>
        </w:tc>
        <w:tc>
          <w:tcPr>
            <w:tcW w:w="1518"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sz w:val="20"/>
                <w:szCs w:val="20"/>
                <w:lang w:eastAsia="ru-RU"/>
              </w:rPr>
              <w:t>руб.</w:t>
            </w:r>
          </w:p>
        </w:tc>
        <w:tc>
          <w:tcPr>
            <w:tcW w:w="167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9049641,02</w:t>
            </w:r>
          </w:p>
        </w:tc>
      </w:tr>
      <w:tr>
        <w:trPr>
          <w:trHeight w:val="275" w:hRule="atLeast"/>
        </w:trPr>
        <w:tc>
          <w:tcPr>
            <w:tcW w:w="6165"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rFonts w:ascii="Times New Roman" w:hAnsi="Times New Roman" w:eastAsia="Times New Roman" w:cs="Times New Roman"/>
                <w:i/>
                <w:i/>
                <w:color w:val="000000"/>
                <w:sz w:val="20"/>
                <w:szCs w:val="20"/>
                <w:lang w:eastAsia="ru-RU"/>
              </w:rPr>
            </w:pPr>
            <w:r>
              <w:rPr>
                <w:rFonts w:eastAsia="Times New Roman" w:cs="Times New Roman" w:ascii="Times New Roman" w:hAnsi="Times New Roman"/>
                <w:i/>
                <w:color w:val="000000"/>
                <w:sz w:val="20"/>
                <w:szCs w:val="20"/>
                <w:lang w:eastAsia="ru-RU"/>
              </w:rPr>
              <w:t>Участник, применяющий УСН и являющийся плательщиком НДС 7%</w:t>
            </w:r>
          </w:p>
        </w:tc>
        <w:tc>
          <w:tcPr>
            <w:tcW w:w="1518"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67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0" w:hRule="atLeast"/>
        </w:trPr>
        <w:tc>
          <w:tcPr>
            <w:tcW w:w="616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НДС 7%</w:t>
            </w:r>
          </w:p>
        </w:tc>
        <w:tc>
          <w:tcPr>
            <w:tcW w:w="1518"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sz w:val="20"/>
                <w:szCs w:val="20"/>
                <w:lang w:eastAsia="ru-RU"/>
              </w:rPr>
              <w:t>руб.</w:t>
            </w:r>
          </w:p>
        </w:tc>
        <w:tc>
          <w:tcPr>
            <w:tcW w:w="167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603309,4</w:t>
            </w:r>
          </w:p>
        </w:tc>
      </w:tr>
      <w:tr>
        <w:trPr>
          <w:trHeight w:val="308" w:hRule="atLeast"/>
        </w:trPr>
        <w:tc>
          <w:tcPr>
            <w:tcW w:w="616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Стоимость с учетом НДС 7%(НМЦД</w:t>
            </w:r>
            <w:r>
              <w:rPr>
                <w:rFonts w:eastAsia="Times New Roman" w:cs="Times New Roman" w:ascii="Times New Roman" w:hAnsi="Times New Roman"/>
                <w:b/>
                <w:color w:val="000000"/>
                <w:sz w:val="20"/>
                <w:szCs w:val="20"/>
                <w:vertAlign w:val="subscript"/>
                <w:lang w:eastAsia="ru-RU"/>
              </w:rPr>
              <w:t>7%)</w:t>
            </w:r>
          </w:p>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1518"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both"/>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руб.</w:t>
            </w:r>
          </w:p>
        </w:tc>
        <w:tc>
          <w:tcPr>
            <w:tcW w:w="1672"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right"/>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9222015,13</w:t>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709"/>
        <w:jc w:val="both"/>
        <w:rPr>
          <w:rFonts w:ascii="Times New Roman" w:hAnsi="Times New Roman" w:eastAsia="Times New Roman" w:cs="Times New Roman"/>
          <w:lang w:eastAsia="ru-RU"/>
        </w:rPr>
      </w:pPr>
      <w:r>
        <w:rPr>
          <w:rFonts w:eastAsia="Times New Roman" w:cs="Times New Roman" w:ascii="Times New Roman" w:hAnsi="Times New Roman"/>
          <w:b/>
          <w:lang w:eastAsia="ru-RU"/>
        </w:rPr>
        <w:t>ВАЖНО!</w:t>
      </w:r>
      <w:r>
        <w:rPr>
          <w:rFonts w:eastAsia="Times New Roman" w:cs="Times New Roman" w:ascii="Times New Roman" w:hAnsi="Times New Roman"/>
          <w:lang w:eastAsia="ru-RU"/>
        </w:rPr>
        <w:t xml:space="preserve"> При расчете процента конкурсного снижения применять НМЦД в соответствии с действующей системой налогообложения участника конкурса на момент подачи заявки, которая указана в Таблице №2. </w:t>
      </w:r>
    </w:p>
    <w:p>
      <w:pPr>
        <w:pStyle w:val="Normal"/>
        <w:spacing w:lineRule="auto" w:line="240" w:before="0" w:after="0"/>
        <w:ind w:firstLine="709"/>
        <w:jc w:val="both"/>
        <w:rPr>
          <w:rFonts w:ascii="Times New Roman" w:hAnsi="Times New Roman" w:eastAsia="Times New Roman" w:cs="Times New Roman"/>
          <w:lang w:eastAsia="ru-RU"/>
        </w:rPr>
      </w:pPr>
      <w:r>
        <w:rPr>
          <w:rFonts w:eastAsia="Times New Roman" w:cs="Times New Roman" w:ascii="Times New Roman" w:hAnsi="Times New Roman"/>
          <w:b/>
          <w:lang w:eastAsia="ru-RU"/>
        </w:rPr>
        <w:t>ВАЖНО!</w:t>
      </w:r>
      <w:r>
        <w:rPr>
          <w:rFonts w:eastAsia="Times New Roman" w:cs="Times New Roman" w:ascii="Times New Roman" w:hAnsi="Times New Roman"/>
          <w:lang w:eastAsia="ru-RU"/>
        </w:rPr>
        <w:t xml:space="preserve"> Предложенная цена участника конкурсного отбора предлагается с учетом действующей системы налогообложения участника на момент подачи заявки.</w:t>
      </w:r>
    </w:p>
    <w:p>
      <w:pPr>
        <w:pStyle w:val="Normal"/>
        <w:spacing w:lineRule="auto" w:line="240"/>
        <w:ind w:firstLine="709"/>
        <w:jc w:val="both"/>
        <w:rPr>
          <w:rFonts w:ascii="Times New Roman" w:hAnsi="Times New Roman" w:cs="Times New Roman"/>
        </w:rPr>
      </w:pPr>
      <w:r>
        <w:rPr>
          <w:rFonts w:cs="Times New Roman" w:ascii="Times New Roman" w:hAnsi="Times New Roman"/>
        </w:rPr>
        <w:t>Сумма договора в контракте указывается с величиной НДС, исходя из системы налогообложения победителя конкурса. Сумма НДС рассчитывается из итоговой (предложенной) цены договора.</w:t>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Приложение №3 к конкурсной </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документации на право заключения договора </w:t>
      </w:r>
    </w:p>
    <w:p>
      <w:pPr>
        <w:pStyle w:val="Normal"/>
        <w:spacing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изготовление, поставку и монтаж дверей охлаждаемых помещений строящегося объекта капитального </w:t>
      </w:r>
    </w:p>
    <w:p>
      <w:pPr>
        <w:pStyle w:val="Normal"/>
        <w:spacing w:before="0" w:after="0"/>
        <w:jc w:val="right"/>
        <w:rPr>
          <w:rFonts w:ascii="Times New Roman" w:hAnsi="Times New Roman" w:cs="Times New Roman"/>
          <w:b/>
          <w:sz w:val="24"/>
          <w:szCs w:val="24"/>
        </w:rPr>
      </w:pPr>
      <w:r>
        <w:rPr>
          <w:rFonts w:cs="Times New Roman" w:ascii="Times New Roman" w:hAnsi="Times New Roman"/>
          <w:sz w:val="24"/>
          <w:szCs w:val="24"/>
        </w:rPr>
        <w:t>строительства «Агропромышленный парк «Черногорский»</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ТЕХНИЧЕСКОЕ ЗАДАНИЕ</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 xml:space="preserve">на изготовление, поставку и монтаж дверей охлаждаемых помещений </w:t>
      </w:r>
      <w:r>
        <w:rPr>
          <w:rFonts w:cs="Times New Roman" w:ascii="Times New Roman" w:hAnsi="Times New Roman"/>
          <w:b/>
          <w:color w:themeColor="text1" w:val="000000"/>
          <w:sz w:val="24"/>
          <w:szCs w:val="24"/>
        </w:rPr>
        <w:t xml:space="preserve">строящегося </w:t>
      </w:r>
      <w:r>
        <w:rPr>
          <w:rFonts w:cs="Times New Roman" w:ascii="Times New Roman" w:hAnsi="Times New Roman"/>
          <w:b/>
          <w:sz w:val="24"/>
          <w:szCs w:val="24"/>
        </w:rPr>
        <w:t>объекта капитального строительства «Агропромышленный парк «Черногорский».</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bl>
      <w:tblPr>
        <w:tblStyle w:val="afb"/>
        <w:tblW w:w="9345"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94"/>
        <w:gridCol w:w="2874"/>
        <w:gridCol w:w="5877"/>
      </w:tblGrid>
      <w:tr>
        <w:trPr>
          <w:trHeight w:val="725" w:hRule="atLeast"/>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п/п</w:t>
            </w:r>
          </w:p>
        </w:tc>
        <w:tc>
          <w:tcPr>
            <w:tcW w:w="287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Перечень основных требований</w:t>
            </w:r>
          </w:p>
        </w:tc>
        <w:tc>
          <w:tcPr>
            <w:tcW w:w="5877"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Содержание требований</w:t>
            </w:r>
          </w:p>
        </w:tc>
      </w:tr>
      <w:tr>
        <w:trPr>
          <w:trHeight w:val="410" w:hRule="atLeast"/>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Основание</w:t>
            </w:r>
          </w:p>
        </w:tc>
        <w:tc>
          <w:tcPr>
            <w:tcW w:w="5877"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Строительство объекта капитального строительства «Агропромышленный парк «Черногорский».</w:t>
            </w:r>
          </w:p>
        </w:tc>
      </w:tr>
      <w:tr>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Предмет договора</w:t>
            </w:r>
          </w:p>
        </w:tc>
        <w:tc>
          <w:tcPr>
            <w:tcW w:w="5877"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color w:themeColor="text1" w:val="000000"/>
                <w:kern w:val="0"/>
                <w:sz w:val="22"/>
                <w:szCs w:val="22"/>
                <w:lang w:val="ru-RU" w:eastAsia="en-US" w:bidi="ar-SA"/>
              </w:rPr>
              <w:t>Изготовление, поставка и монтаж 21 двери в соответствии с п. 7 Технического задания.</w:t>
            </w:r>
          </w:p>
        </w:tc>
      </w:tr>
      <w:tr>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Ответственное лицо (ФИО, должность)</w:t>
            </w:r>
          </w:p>
        </w:tc>
        <w:tc>
          <w:tcPr>
            <w:tcW w:w="5877"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Главный инженер ООО «Управляющая компания Инфраструктура Хакасии»</w:t>
            </w:r>
          </w:p>
        </w:tc>
      </w:tr>
      <w:tr>
        <w:trPr>
          <w:trHeight w:val="394" w:hRule="atLeast"/>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Контактный телефон</w:t>
            </w:r>
          </w:p>
        </w:tc>
        <w:tc>
          <w:tcPr>
            <w:tcW w:w="5877"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+7 908 220 61 00</w:t>
            </w:r>
          </w:p>
        </w:tc>
      </w:tr>
      <w:tr>
        <w:trPr>
          <w:trHeight w:val="394" w:hRule="atLeast"/>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2874" w:type="dxa"/>
            <w:tcBorders/>
          </w:tcPr>
          <w:p>
            <w:pPr>
              <w:pStyle w:val="Normal"/>
              <w:widowControl/>
              <w:suppressAutoHyphens w:val="true"/>
              <w:spacing w:lineRule="auto" w:line="240" w:before="0" w:after="0"/>
              <w:jc w:val="left"/>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E-mail</w:t>
            </w:r>
          </w:p>
        </w:tc>
        <w:tc>
          <w:tcPr>
            <w:tcW w:w="5877" w:type="dxa"/>
            <w:tcBorders/>
          </w:tcPr>
          <w:p>
            <w:pPr>
              <w:pStyle w:val="Normal"/>
              <w:widowControl/>
              <w:suppressAutoHyphens w:val="true"/>
              <w:spacing w:lineRule="auto" w:line="240" w:before="0" w:after="0"/>
              <w:jc w:val="both"/>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uk.ikhakasii@yandex.ru</w:t>
            </w:r>
          </w:p>
        </w:tc>
      </w:tr>
      <w:tr>
        <w:trPr>
          <w:trHeight w:val="689" w:hRule="atLeast"/>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Место поставки, монтажных работ</w:t>
            </w:r>
          </w:p>
        </w:tc>
        <w:tc>
          <w:tcPr>
            <w:tcW w:w="5877"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Республика Хакасия, город Черногорск, в районе комбината «Залив», промышленный парк «Черногорский», участок 13. Кадастровый номер: 19:02:010202:873.</w:t>
            </w:r>
          </w:p>
        </w:tc>
      </w:tr>
      <w:tr>
        <w:trPr>
          <w:trHeight w:val="689" w:hRule="atLeast"/>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6</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Срок выполнения работ</w:t>
            </w:r>
          </w:p>
        </w:tc>
        <w:tc>
          <w:tcPr>
            <w:tcW w:w="5877"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color w:themeColor="text1" w:val="000000"/>
                <w:kern w:val="0"/>
                <w:sz w:val="22"/>
                <w:szCs w:val="22"/>
                <w:lang w:val="ru-RU" w:eastAsia="en-US" w:bidi="ar-SA"/>
              </w:rPr>
              <w:t>Срок изготовления дверей – не позднее 01.04.2027 г. Срок поставки и монтажа дверей – с момента строительной готовности помещени</w:t>
            </w:r>
            <w:r>
              <w:rPr>
                <w:rFonts w:eastAsia="Calibri" w:cs="Times New Roman" w:ascii="Times New Roman" w:hAnsi="Times New Roman"/>
                <w:color w:val="000000"/>
                <w:kern w:val="0"/>
                <w:sz w:val="22"/>
                <w:szCs w:val="22"/>
                <w:shd w:fill="FFFFFF" w:val="clear"/>
                <w:lang w:val="ru-RU" w:eastAsia="en-US" w:bidi="ar-SA"/>
              </w:rPr>
              <w:t>й</w:t>
            </w:r>
            <w:r>
              <w:rPr>
                <w:rFonts w:eastAsia="Calibri" w:cs="Times New Roman" w:ascii="Times New Roman" w:hAnsi="Times New Roman"/>
                <w:color w:themeColor="text1" w:val="000000"/>
                <w:kern w:val="0"/>
                <w:sz w:val="22"/>
                <w:szCs w:val="22"/>
                <w:lang w:val="ru-RU" w:eastAsia="en-US" w:bidi="ar-SA"/>
              </w:rPr>
              <w:t>, но не позднее 01.07.2027 г. (дата начала работ определяется Заказчиком с учетом строительной готовности помещений.)</w:t>
            </w:r>
          </w:p>
        </w:tc>
      </w:tr>
      <w:tr>
        <w:trPr>
          <w:trHeight w:val="1974" w:hRule="atLeast"/>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7</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Исходные данные</w:t>
            </w:r>
          </w:p>
        </w:tc>
        <w:tc>
          <w:tcPr>
            <w:tcW w:w="5877" w:type="dxa"/>
            <w:tcBorders/>
          </w:tcPr>
          <w:p>
            <w:pPr>
              <w:pStyle w:val="ListParagraph"/>
              <w:widowControl/>
              <w:numPr>
                <w:ilvl w:val="0"/>
                <w:numId w:val="7"/>
              </w:numPr>
              <w:tabs>
                <w:tab w:val="clear" w:pos="708"/>
                <w:tab w:val="left" w:pos="622"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Виды работ: - изготовление;</w:t>
            </w:r>
          </w:p>
          <w:p>
            <w:pPr>
              <w:pStyle w:val="ListParagraph"/>
              <w:widowControl/>
              <w:tabs>
                <w:tab w:val="clear" w:pos="708"/>
                <w:tab w:val="left" w:pos="622"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 поставка;</w:t>
            </w:r>
          </w:p>
          <w:p>
            <w:pPr>
              <w:pStyle w:val="Normal"/>
              <w:widowControl/>
              <w:tabs>
                <w:tab w:val="clear" w:pos="708"/>
                <w:tab w:val="left" w:pos="622" w:leader="none"/>
                <w:tab w:val="left" w:pos="1380" w:leader="none"/>
              </w:tabs>
              <w:suppressAutoHyphens w:val="true"/>
              <w:spacing w:lineRule="auto" w:line="240" w:before="0" w:after="0"/>
              <w:ind w:left="130"/>
              <w:jc w:val="both"/>
              <w:rPr>
                <w:rFonts w:ascii="Times New Roman" w:hAnsi="Times New Roman" w:cs="Times New Roman"/>
              </w:rPr>
            </w:pPr>
            <w:r>
              <w:rPr>
                <w:rFonts w:eastAsia="Calibri" w:cs="Times New Roman" w:ascii="Times New Roman" w:hAnsi="Times New Roman"/>
                <w:kern w:val="0"/>
                <w:sz w:val="22"/>
                <w:szCs w:val="22"/>
                <w:lang w:val="ru-RU" w:eastAsia="en-US" w:bidi="ar-SA"/>
              </w:rPr>
              <w:tab/>
              <w:t>- монтаж.</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Исполнение – установка в помещениях согласно прилагаемой к данному техническому заданию схеме расположения дверей охлаждаемых помещений на отм. 0,000.</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Исполнитель должен обеспечить следующие количественные и качественные требования к дверям: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ВХ1– 4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для среднетемпературной – (-5+5) камеры, двустворчатая (промышленной серии), с шириной светового проема 2500мм, высотой светового проема 2600мм, стандартной толщиной полотна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Многослойная сэндвич панель (оцинкованный лист крашеная сталь 0,6 мм. + ППУ + оцинкованный лист крашеная сталь 0,6 мм.)</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Толщина полотна S: 100мм;</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Цвет полотна: стандартный - RAL9003 (белый);</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Разрыв мостика холода – пластиковый профиль;</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Уплотнитель – резиновый профиль по периметру полотна, двухконтурный. Нижний уплотнитель повышенной износостойкости.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Рама собирается на месте эксплуатации при помощи комплектов уголков;</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Обрамление проема - профиль, с плющением по краям 10мм;</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Материал – лист крашеная сталь 0,6 мм. RAL 9003;</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уплотнительной резины:</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Комплект электронагревательных проводов;</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Мощность ПЭНов, прокладываемых в раме и между створок РДД(ОН), составляет 25Вт/м. п.;</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ПЭН для обогрева порога высокой мощности 50Вт/м. п.;</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ПЭНы прокладываются по внутренним каналам, выводятся в верхнем углу со стороны открывания;</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распаячная коробка с металлическим рукавом для прокладки внешней части ПЭНов от рамы до распаячной коробки.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Тип ручки - рычажный.</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С внешней стороны закрывается на ключ, с внутренней стороны с функцией аварийного выхода;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Изготавливается с разрывом мостика холода.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Корпус из высокопрочного пластика, внутренний механизм и рычаг из пищевой нержавеющей стали.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С внутренней стороны полотна в верхней и нижней части устанавливаются дополнительные запоры, соединенные с основной ручкой нержавеющими тягами.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Усиленный порог, монтируется в уровень с полом из профиля 60х60х4,0мм -выдерживает проезд механизированной техники тяжелой.</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Материал порога – пищевая нержавеющая сталь AISI304.</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Дополнительные ребра жесткости по всей длине, усиливают порог, создают острую кромку контакта с бетоном, что сохраняет бетонное основание от разрушения.</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Зацепы по длине служат для жесткой фиксации порога в полу.</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Металлический кабель-канал для установки ПЭНа.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ВХ2 – 4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Маятниковая дверь двустворчатая (с фиксацией полотна), с шириной монтажного проема 2500мм, высотой монтажного проема 2600мм, стандартной толщиной полотна 40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Корпус петли выполнен из нержавеющей стали и прочного полимера;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Ось петли выполнена из нержавеющей стали;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Уверенная фиксация полотна в створе проема;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Жесткий ход открывания/закрывания двери под действием пружинного механизма;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Фиксация полотна двери в открытом положении под углом 90°;</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Прогрессивная скорость закрытия (чем больше угол открытия, тем сильнее и быстрее закрытие).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Лёгкое многослойное полотно (оцинкованный лист крашеной стали 0,6мм + ППУ + оцинкованный лист крашеной стали 0,6мм), обрамленное по периметру специальным алюминиевым профилем;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Окно овальное с резиновым обрамлением 300х580;</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По периметру двери резиновый уплотнительный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Примечание: ВХ-1 и ВХ-2 – это тандем дверей – дверь холодильной камеры и маятниковая дверь, устанавливаемые в один проем. Дверь холодильной камеры служит для теплоизоляции холодильного контура, а маятниковая дверь снижает потери холода 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поступление тепла при открытой холодильной двери во время загрузки/выгрузки продукта из камеры. Рама служит одновременно основой для монтажа дверей и усилением проема на ненесущие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ВХ3 – 2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двустворчатая (промышленной серии), для низкотемпературной камеры (-18-20) с шириной светового проема 2500мм, высотой светового проема 3000мм, стандартной толщиной полотна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Многослойная сэндвич панель (оцинкованный лист крашеная сталь 0,6 мм. + ППУ + оцинкованный лист крашеная сталь 0,6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S: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Разрыв мостика холода – пластиковый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Уплотнитель – резиновый профиль по периметру полотна, двухконтурный. Нижний уплотнитель повышенной износостойкости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Рама собирается на месте эксплуатации при помощи комплектов уголков;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Обрамление проема - профиль 50х150, с плющением по краям 10мм;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 лист крашеная сталь 0,6 мм. RAL 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уплотнительной резины: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Комплект электронагревательных проводов;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ПЭНов прокладываемых в раме и между створок РДД(ОН) составляет 25Вт/м. п.;</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 для обогрева порога высокой мощности 50Вт/м. п.;</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ПЭНы прокладываются по внутренним каналам, выводятся в верхнем углу со стороны открывания;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распаячная коробка с металлическим рукавом для прокладки внешней части ПЭНов от рамы до распаячной коробки.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Тип ручки - рычажный.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С внешней стороны закрывается на ключ, с внутренней стороны с функцией аварийного выхода.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Изготавливается с разрывом мостика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Корпус из высокопрочного пластика, внутренний механизм и рычаг из пищевой нержавеющей стали.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С внутренней стороны полотна в верхней и нижней части устанавливаются дополнительные запоры, соединенные с основной ручкой нержавеющими тягами.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Усиленный порог, монтируется в уровень с полом из профиля 60х60х4,0мм -выдерживает проезд механизированной техники тяжелой.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порога – пищевая нержавеющая сталь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Дополнительные ребра жесткости по всей длине, усиливают порог, создают острую кромку контакта с бетоном, что сохраняет бетонное основание от разрушения.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Зацепы по длине служат для жесткой фиксации порога в полу.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Металлический кабель канал для установки ПЭНа.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ВХ4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Откатная дверь (промышленной серии) для низкотемпературной камеры (-18-12С), с шириной светового проема 3000мм, высотой светового проема 3000мм, стандартной толщиной полотна 100мм, правый откат двери (дверь открывается вправо), с замком.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Многослойная сэндвич панель (оцинкованный лист крашеная сталь 0,6 мм. + ППУ + оцинкованный лист крашеная сталь 0,6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S: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Разрыв мостика холода – пластиковый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Уплотнитель – резиновый профиль по периметру полотна, в два контура, жесткое крепление через прижимной профиль. Нижний уплотнитель повышенной износостойкости.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 xml:space="preserve">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 Рама </w:t>
            </w:r>
            <w:r>
              <w:rPr>
                <w:rFonts w:cs="Times New Roman" w:ascii="Times New Roman" w:hAnsi="Times New Roman"/>
                <w:kern w:val="0"/>
                <w:sz w:val="22"/>
                <w:szCs w:val="22"/>
                <w:shd w:fill="FFFFFF" w:val="clear"/>
                <w:lang w:val="ru-RU" w:bidi="ar-SA"/>
              </w:rPr>
              <w:t>-цвет по согласованию</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ПЭНа в раме составляет 25Вт/п.м.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Рама собирается на месте эксплуатации при помощи комплектов уголков.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Обрамление проема - профиль 40х150х40, с плющением по краям 10мм из стали 0.6мм RAL 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Порог усиленный: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Выполнен из профиля 60х60х4,0мм.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порога – пищевая нержавеющая сталь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Дополнительные ребра жесткости по всей длине, усиливают порог, создают острую кромку.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контакта с бетоном, что сохраняет бетонное основание от разрушения.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Зацепы по длине служат для жесткой фиксации порога в полу.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Металлический кабель канал для установки ПЭНа.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Мощность ПЭНа в пороге составляет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50 Вт/п.м.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 (Провод Электронагревательный), для дверей с Алюминиевой рамой - 25 Вт/м – 2 шт. (обогрев стоек и поперечины рамы), 50Вт/м -1шт. (в пороге).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Подвесная система: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Рельс - труба стальная нержавеющая d48,3мм. Кронштейны – оцинкованная сталь. Ролики -высокопрочный пластик.</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Регулировка в трех плоскостях.</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Изгиб рельсы в конечной стадии закрытия.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Глубокий резиновый буфер, с двух сторон.</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На кронштейне ролика установлен ограничитель.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Система нижнего прижима полотна: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Комплект прижимного и направляющего башмаков, изготовленных из высокопрочного пластика с металлической вставкой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Крепление осуществляется при помощи анкеров, входящих в комплект поставки.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Направляющая из анодированного алюминиевого профиля.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Ручка-рычажная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Замок накладной (пластик) с системой аварийного выхода.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ВХ5 – 1шт.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(Промышленной серии) для низкотемпературной камеры (-18-20С), с шириной светового проема 1000мм, высотой светового проема 2100мм, стандартной толщиной полотна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Многослойная сэндвич панель (оцинкованный лист крашеная сталь 0,6 мм. + ППУ + оцинкованный лист крашеная сталь 0,6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S: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Разрыв мостика холода – пластиковый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Уплотнитель – резиновый профиль по периметру полотна, двухконтурный. Нижний уплотнитель повышенной износостойкости.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Рама собирается на месте эксплуатации при помощи комплектов уголков.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Обрамление проема - профиль 50х150, с плющением по краям 10мм.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 лист крашеная сталь 0,6 мм. RAL 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уплотнительной резины: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Комплект электронагревательных проводов.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ПЭНов прокладываемых в раме и между створок РДД(ОН) составляет 25Вт/м. п.</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 для обогрева порога высокой мощности 50Вт/м. п.</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ПЭНы прокладываются по внутренним каналам, выводятся в верхнем углу со стороны открывания.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Распаячная коробка с металлическим рукавом для прокладки внешней части ПЭНов от рамы до распаячной коробки.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Тип ручки - рычажный.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С внешней стороны закрывается на ключ, с внутренней стороны с функцией аварийного выхода.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Изготавливается с разрывом мостика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Корпус из высокопрочного пластика, внутренний механизм и рычаг из пищевой нержавеющей стали.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С внутренней стороны полотна в верхней и нижней части устанавливаются дополнительные запоры, соединенные с основной ручкой нержавеющими тягами.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Усиленный порог, монтируется в уровень с полом из профиля 60х60х4,0мм.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порога – пищевая нержавеющая сталь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Дополнительные ребра жесткости по всей длине, усиливают порог, создают острую кромку контакта с бетоном, что сохраняет бетонное основание от разрушения.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Зацепы по длине служат для жесткой фиксации порога в полу.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Металлический кабель канал для установки ПЭНа.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ВХ6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двустворчатая противопожарная (предел огнестойкости EI60) для среднетемпературной камеры (-5+5С), с шириной светового проема 1800мм, высотой светового проема 2500мм, стандартной толщиной полотна 150мм.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ВХ7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Откатная дверь для среднетемпературной камеры (-5+5С), с шириной светового проема 2000мм, высотой светового проема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2500мм, стандартной толщиной полотна 80мм, левый откат двери (дверь открывается влево).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Многослойная сэндвич панель (оцинкованный лист крашеная сталь 0,6 мм. + ППУ +оцинкованный лист крашеная сталь 0,6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S: 80мм.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Разрыв мостика холода – пластиковый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Уплотнитель – резиновый профиль по периметру полотна, в два контура, Жесткое крепление через прижимной профиль. Нижний уплотнитель повышенной износостойкости.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 xml:space="preserve">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 Рама </w:t>
            </w:r>
            <w:r>
              <w:rPr>
                <w:rFonts w:cs="Times New Roman" w:ascii="Times New Roman" w:hAnsi="Times New Roman"/>
                <w:kern w:val="0"/>
                <w:sz w:val="22"/>
                <w:szCs w:val="22"/>
                <w:shd w:fill="FFFFFF" w:val="clear"/>
                <w:lang w:val="ru-RU" w:bidi="ar-SA"/>
              </w:rPr>
              <w:t>-цвет по согласованию</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ПЭНа в раме составляет 25Вт/п.м.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Рама собирается на месте эксплуатации при помощи комплектов уголков.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Обрамление проема - профиль 40х150х40, с плющением по краям 10мм из стали 0.6мм RAL 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Порог усиленный: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Выполнен из профиля 60х60х4,0мм.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порога – пищевая нержавеющая сталь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Дополнительные ребра жесткости по всей длине, усиливают порог, создают острую кромку контакта с бетоном, что сохраняет бетонное основание от разрушения.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Зацепы по длине служат для жесткой фиксации порога в полу.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Металлический кабель канал для установки ПЭНа.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ПЭНа в пороге составляет 50 Вт/п.м.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 (Провод Электронагревательный), для дверей с Алюминиевой рамой - 25 Вт/м – 2 шт. (обогрев стоек и поперечины рамы), 50Вт/м -1шт. (в пороге).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Подвесная система: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Рельс - труба стальная нержавеющая d48,3мм. Кронштейны – оцинкованная сталь. Ролики -высокопрочный пластик.</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Регулировка в трех плоскостях.</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Изгиб рельсы в конечной стадии закрытия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Глубокий резиновый буфер, с двух сторон</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 кронштейне ролика установлен ограничитель.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Система нижнего прижима полотна: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Комплект прижимного и направляющего башмаков, изготовленных из высокопрочного пластика с металлической вставкой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Крепление осуществляется при помощи анкеров, входящих в комплект поставки.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Направляющая из анодированного алюминиевого профиля.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Ручка-рычажная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Д4.2.1, Д216 – 2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противопожарная (предел огнестойкости EI60) для среднетемпературной камеры (-5+5С), с шириной светового проема 1070мм, высотой светового проема 2185мм, стандартной толщиной полотна 150мм, левое открывание.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 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Д4.2.2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противопожарная (предел огнестойкости EI60) для низкотемпературной камеры (-18-20С), с шириной светового проема 1070мм, высотой светового проема 2185мм, стандартной толщиной полотна 150мм, левое открывание.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 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Д5.2.1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противопожарная (предел огнестойкости EI60) для среднетемпературной камеры (-5+5С), с шириной светового проема 1070мм, высотой светового проема 2185мм, стандартной толщиной полотна 150мм, правое открывание.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 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Д5.2.2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противопожарная (предел огнестойкости EI60) для низкотемпературной камеры (-18-20С), с шириной светового проема 1070мм, высотой светового проема 2185мм, стандартной толщиной полотна 150мм, правое открывание.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 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Д12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Маятниковая дверь двухстворчатая с фиксацией полотна (</w:t>
            </w:r>
            <w:r>
              <w:rPr>
                <w:rFonts w:cs="Times New Roman" w:ascii="Times New Roman" w:hAnsi="Times New Roman"/>
                <w:kern w:val="0"/>
                <w:sz w:val="22"/>
                <w:szCs w:val="22"/>
                <w:lang w:val="en-US" w:bidi="ar-SA"/>
              </w:rPr>
              <w:t>Fix</w:t>
            </w:r>
            <w:r>
              <w:rPr>
                <w:rFonts w:cs="Times New Roman" w:ascii="Times New Roman" w:hAnsi="Times New Roman"/>
                <w:kern w:val="0"/>
                <w:sz w:val="22"/>
                <w:szCs w:val="22"/>
                <w:lang w:val="ru-RU" w:bidi="ar-SA"/>
              </w:rPr>
              <w:t>90) с шириной проема 1600мм, высотой проема 2200мм, толщиной полотна 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Дверное полотно: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внутренняя и внешняя стороны полотна – </w:t>
            </w:r>
            <w:r>
              <w:rPr>
                <w:rFonts w:cs="Times New Roman" w:ascii="Times New Roman" w:hAnsi="Times New Roman"/>
                <w:kern w:val="0"/>
                <w:sz w:val="22"/>
                <w:szCs w:val="22"/>
                <w:lang w:val="en-US" w:bidi="ar-SA"/>
              </w:rPr>
              <w:t>RAL</w:t>
            </w:r>
            <w:r>
              <w:rPr>
                <w:rFonts w:cs="Times New Roman" w:ascii="Times New Roman" w:hAnsi="Times New Roman"/>
                <w:kern w:val="0"/>
                <w:sz w:val="22"/>
                <w:szCs w:val="22"/>
                <w:lang w:val="ru-RU" w:bidi="ar-SA"/>
              </w:rPr>
              <w:t>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обрамление полотна – алюминиевый профиль без покраски.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Рама, заглушки </w:t>
            </w:r>
            <w:r>
              <w:rPr>
                <w:rFonts w:cs="Times New Roman" w:ascii="Times New Roman" w:hAnsi="Times New Roman"/>
                <w:kern w:val="0"/>
                <w:sz w:val="22"/>
                <w:szCs w:val="22"/>
                <w:shd w:fill="FFFFFF" w:val="clear"/>
                <w:lang w:val="ru-RU" w:bidi="ar-SA"/>
              </w:rPr>
              <w:t>-цвет по согласованию</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Окно овальное с резиновым обрамлением 300х580 – 2шт.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Отбойник ПНД формованный (черный) с внутренней/внешней стороны полотна, для ног. Высота 800мм – 2шт.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Комплект крепежных элементов для рамы угловой RAL</w:t>
            </w:r>
            <w:r>
              <w:rPr>
                <w:rFonts w:cs="Times New Roman" w:ascii="Times New Roman" w:hAnsi="Times New Roman"/>
                <w:kern w:val="0"/>
                <w:sz w:val="22"/>
                <w:szCs w:val="22"/>
                <w:shd w:fill="FFFFFF" w:val="clear"/>
                <w:lang w:val="ru-RU" w:bidi="ar-SA"/>
              </w:rPr>
              <w:t>-цвет по согласованию</w:t>
            </w:r>
            <w:r>
              <w:rPr>
                <w:rFonts w:cs="Times New Roman" w:ascii="Times New Roman" w:hAnsi="Times New Roman"/>
                <w:kern w:val="0"/>
                <w:sz w:val="22"/>
                <w:szCs w:val="22"/>
                <w:lang w:val="ru-RU" w:bidi="ar-SA"/>
              </w:rPr>
              <w:t xml:space="preserve"> -на полнотелый кирпич толщиной 150мм.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Д13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Маятниковая дверь двухстворчатая с фиксацией полотна (Fix90) с шириной проема 1400мм, высотой проема 2200мм, толщиной полотна 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Дверное полотно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внутренняя и внешняя стороны полотна – RAL9003;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обрамление полотна – алюминиевый профиль без покраски.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угловая – </w:t>
            </w:r>
            <w:r>
              <w:rPr>
                <w:rFonts w:cs="Times New Roman" w:ascii="Times New Roman" w:hAnsi="Times New Roman"/>
                <w:kern w:val="0"/>
                <w:sz w:val="22"/>
                <w:szCs w:val="22"/>
                <w:shd w:fill="FFFFFF" w:val="clear"/>
                <w:lang w:val="ru-RU" w:bidi="ar-SA"/>
              </w:rPr>
              <w:t>цвет по согласованию</w:t>
            </w:r>
            <w:r>
              <w:rPr>
                <w:rFonts w:cs="Times New Roman" w:ascii="Times New Roman" w:hAnsi="Times New Roman"/>
                <w:kern w:val="0"/>
                <w:sz w:val="22"/>
                <w:szCs w:val="22"/>
                <w:lang w:val="ru-RU" w:bidi="ar-SA"/>
              </w:rPr>
              <w:t>.</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Заглушки- </w:t>
            </w:r>
            <w:r>
              <w:rPr>
                <w:rFonts w:cs="Times New Roman" w:ascii="Times New Roman" w:hAnsi="Times New Roman"/>
                <w:kern w:val="0"/>
                <w:sz w:val="22"/>
                <w:szCs w:val="22"/>
                <w:shd w:fill="FFFFFF" w:val="clear"/>
                <w:lang w:val="ru-RU" w:bidi="ar-SA"/>
              </w:rPr>
              <w:t>цвет по согласованию</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Окно овальное с резиновым обрамлением 300х580 – 2шт.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Отбойник ПНД формованный (черный) с внутренней/внешней стороны полотна, для ног. Высота 800мм – 2шт.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Комплект крепежных элементов для рамы угловой-</w:t>
            </w:r>
            <w:r>
              <w:rPr>
                <w:rFonts w:cs="Times New Roman" w:ascii="Times New Roman" w:hAnsi="Times New Roman"/>
                <w:kern w:val="0"/>
                <w:sz w:val="22"/>
                <w:szCs w:val="22"/>
                <w:shd w:fill="FFFFFF" w:val="clear"/>
                <w:lang w:val="ru-RU" w:bidi="ar-SA"/>
              </w:rPr>
              <w:t xml:space="preserve">цвет по согласованию- </w:t>
            </w:r>
            <w:r>
              <w:rPr>
                <w:rFonts w:cs="Times New Roman" w:ascii="Times New Roman" w:hAnsi="Times New Roman"/>
                <w:kern w:val="0"/>
                <w:sz w:val="22"/>
                <w:szCs w:val="22"/>
                <w:lang w:val="ru-RU" w:bidi="ar-SA"/>
              </w:rPr>
              <w:t>на полнотелый кирпич толщиной 150мм.</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Правила и контроль выполнения монтажных работ должны соответствовать требованиям СП 70.13330.2012, ГОСТ Р 71972-2025, ГОСТ 31174-2017.</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Установка противопожарных дверей должна соответствовать ГОСТ Р 59642-2021 «Средства противопожарной защиты зданий и сооружений. Заполнение проёмов в противопожарных преградах. Общие требования к монтажу, техническому обслуживанию и ремонту. Методы контроля»</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По неоговоренным исходным данным необходимо руководствоваться проектной документацией шифр 053-24-П-АР ООО «Экспертиза недвижимости» и по согласованию Заказчиком.</w:t>
            </w:r>
          </w:p>
        </w:tc>
      </w:tr>
      <w:tr>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8</w:t>
            </w:r>
          </w:p>
        </w:tc>
        <w:tc>
          <w:tcPr>
            <w:tcW w:w="2874" w:type="dxa"/>
            <w:tcBorders/>
          </w:tcPr>
          <w:p>
            <w:pPr>
              <w:pStyle w:val="Normal"/>
              <w:widowControl/>
              <w:suppressAutoHyphens w:val="true"/>
              <w:spacing w:lineRule="auto" w:line="240" w:before="0" w:after="0"/>
              <w:jc w:val="left"/>
              <w:rPr>
                <w:rFonts w:ascii="Times New Roman" w:hAnsi="Times New Roman" w:eastAsia="Calibri" w:cs="Times New Roman"/>
                <w:bCs/>
              </w:rPr>
            </w:pPr>
            <w:r>
              <w:rPr>
                <w:rStyle w:val="2"/>
                <w:rFonts w:eastAsia="Calibri" w:eastAsiaTheme="minorHAnsi"/>
                <w:kern w:val="0"/>
                <w:sz w:val="22"/>
                <w:szCs w:val="22"/>
                <w:lang w:eastAsia="en-US" w:bidi="ar-SA"/>
              </w:rPr>
              <w:t>Требования к оформлению документации</w:t>
            </w:r>
          </w:p>
        </w:tc>
        <w:tc>
          <w:tcPr>
            <w:tcW w:w="5877" w:type="dxa"/>
            <w:tcBorders/>
          </w:tcPr>
          <w:p>
            <w:pPr>
              <w:pStyle w:val="Normal"/>
              <w:keepNext w:val="true"/>
              <w:widowControl/>
              <w:suppressAutoHyphens w:val="true"/>
              <w:spacing w:lineRule="auto" w:line="240" w:before="0" w:after="0"/>
              <w:jc w:val="both"/>
              <w:rPr>
                <w:rFonts w:ascii="Times New Roman" w:hAnsi="Times New Roman" w:eastAsia="Calibri" w:cs="Times New Roman"/>
              </w:rPr>
            </w:pPr>
            <w:r>
              <w:rPr>
                <w:rFonts w:eastAsia="Calibri" w:cs="Times New Roman" w:ascii="Times New Roman" w:hAnsi="Times New Roman"/>
                <w:color w:val="000000"/>
                <w:spacing w:val="1"/>
                <w:kern w:val="0"/>
                <w:sz w:val="22"/>
                <w:szCs w:val="22"/>
                <w:shd w:fill="FFFFFF" w:val="clear"/>
                <w:lang w:val="ru-RU" w:eastAsia="en-US" w:bidi="ar-SA"/>
              </w:rPr>
              <w:t xml:space="preserve"> </w:t>
            </w:r>
            <w:r>
              <w:rPr>
                <w:rFonts w:eastAsia="Calibri" w:cs="Times New Roman" w:ascii="Times New Roman" w:hAnsi="Times New Roman"/>
                <w:color w:val="000000"/>
                <w:spacing w:val="1"/>
                <w:kern w:val="0"/>
                <w:sz w:val="22"/>
                <w:szCs w:val="22"/>
                <w:shd w:fill="FFFFFF" w:val="clear"/>
                <w:lang w:val="ru-RU" w:eastAsia="en-US" w:bidi="ar-SA"/>
              </w:rPr>
              <w:t xml:space="preserve">СП 70.13330.2012, </w:t>
            </w:r>
            <w:r>
              <w:rPr>
                <w:rFonts w:eastAsia="Calibri" w:cs="Times New Roman" w:ascii="Times New Roman" w:hAnsi="Times New Roman"/>
                <w:kern w:val="0"/>
                <w:sz w:val="22"/>
                <w:szCs w:val="22"/>
                <w:lang w:val="ru-RU" w:eastAsia="en-US" w:bidi="ar-SA"/>
              </w:rPr>
              <w:t>ГОСТ Р 59642-2021.</w:t>
            </w:r>
          </w:p>
          <w:p>
            <w:pPr>
              <w:pStyle w:val="Normal"/>
              <w:widowControl/>
              <w:suppressAutoHyphens w:val="true"/>
              <w:spacing w:lineRule="auto" w:line="240" w:before="0" w:after="0"/>
              <w:jc w:val="both"/>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r>
          </w:p>
        </w:tc>
      </w:tr>
      <w:tr>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9</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Требования к применяемым материалам, запчастям, оборудованию, металлоконструкциям</w:t>
            </w:r>
          </w:p>
        </w:tc>
        <w:tc>
          <w:tcPr>
            <w:tcW w:w="5877"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1. Все двери должны иметь сертификат соответствия или декларацию (ТР ТС / ЕАС) в зависимости от назначения, а материалы (особенно в пищевой промышленности) — санитарно-эпидемиологическое заключение, противопожарные двери – пожарный сертификат.</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2. Начальная (максимальная) цена включает в себя все налоги, сборы и иные обязательные платежи, а также затраты на изготовление, доставку оборудования до места монтажа, монтаж и </w:t>
            </w:r>
            <w:r>
              <w:rPr>
                <w:rFonts w:eastAsia="Calibri" w:cs="Times New Roman" w:ascii="Times New Roman" w:hAnsi="Times New Roman"/>
                <w:color w:themeColor="text1" w:val="000000"/>
                <w:kern w:val="0"/>
                <w:sz w:val="22"/>
                <w:szCs w:val="22"/>
                <w:lang w:val="ru-RU" w:eastAsia="en-US" w:bidi="ar-SA"/>
              </w:rPr>
              <w:t xml:space="preserve">проверку их работы, а также хранение дверей на территории Исполнитель с момента изготовления дверей до начала монтажных работ по извещению Заказчика о строительной готовности помещений, </w:t>
            </w:r>
            <w:r>
              <w:rPr>
                <w:rFonts w:eastAsia="Calibri" w:cs="Times New Roman" w:ascii="Times New Roman" w:hAnsi="Times New Roman"/>
                <w:kern w:val="0"/>
                <w:sz w:val="22"/>
                <w:szCs w:val="22"/>
                <w:lang w:val="ru-RU" w:eastAsia="en-US" w:bidi="ar-SA"/>
              </w:rPr>
              <w:t>подготовку необходимой рабочей документации и инструкции по эксплуатации.</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3. Доставка дверей осуществляется силами и средствами Исполнителя.</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4. После заключения договора в течение пяти рабочих дней Исполнитель в обязательном порядке выполняет взаимодействие с Заказчиком в целях согласования и уточнения мер, объема, чертежа, величин и других характеристик поставляемых материалов. Исполнитель обязан определить компетентное ответственное лицо для взаимодействия с Заказчиком.</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5. Заказчик не несет ответственности за транспортные расходы по обмену поставляемых дверей.</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6. Поставленные изделия и материалы должны быть новым, выпуска не ранее 2026 г., в том числе:</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которые не были в употреблении, в ремонте;</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ранее не использованные;</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которые не были восстановлены;</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у которых не была осуществлена замена составных частей, не были восстановлены потребительские свойства;</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от известных и надежных производителей, имеющих необходимые разрешение, сертификаты, паспорта.</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свободным от прав третьих лиц.</w:t>
            </w:r>
          </w:p>
          <w:p>
            <w:pPr>
              <w:pStyle w:val="Normal"/>
              <w:widowControl/>
              <w:suppressAutoHyphens w:val="true"/>
              <w:spacing w:lineRule="auto" w:line="240" w:before="0" w:after="0"/>
              <w:jc w:val="both"/>
              <w:rPr>
                <w:rFonts w:ascii="Times New Roman" w:hAnsi="Times New Roman" w:cs="Times New Roman"/>
                <w:color w:val="FF0000"/>
              </w:rPr>
            </w:pPr>
            <w:r>
              <w:rPr>
                <w:rFonts w:eastAsia="Calibri" w:cs="Times New Roman" w:ascii="Times New Roman" w:hAnsi="Times New Roman"/>
                <w:kern w:val="0"/>
                <w:sz w:val="22"/>
                <w:szCs w:val="22"/>
                <w:lang w:val="ru-RU" w:eastAsia="en-US" w:bidi="ar-SA"/>
              </w:rPr>
              <w:t>7. Поставка восстановленных и бывших в употреблении изделий не допускается</w:t>
            </w:r>
            <w:r>
              <w:rPr>
                <w:rFonts w:eastAsia="Calibri" w:cs="Times New Roman" w:ascii="Times New Roman" w:hAnsi="Times New Roman"/>
                <w:color w:val="FF0000"/>
                <w:kern w:val="0"/>
                <w:sz w:val="22"/>
                <w:szCs w:val="22"/>
                <w:lang w:val="ru-RU" w:eastAsia="en-US" w:bidi="ar-SA"/>
              </w:rPr>
              <w:t>.</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8. Исполнитель должен при хранении и транспортировке предохранять двери от механических повреждений и ударов, защищать от воздействия погоды и влажности во время хранения и перевозки, в том числе при погрузке/разгрузке в транспортное средство до отправки. Двери должны поставляться в упаковке (таре), обеспечивающей защиту его от повреждения или порчи во время транспортировки и хранения. Исполнитель несет ответственность за достаточность и надежность упаковки.</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9. Двери должны иметь необходимые маркировки, наклейки и пломбы, бирки, маркировочные щитки, если такие требования предъявляются действующим законодательством Российской Федерации.</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10. Исполнитель гарантирует Заказчику безотказную работу поставляемых дверей и оборудования </w:t>
            </w:r>
            <w:r>
              <w:rPr>
                <w:rFonts w:eastAsia="Calibri" w:cs="Times New Roman" w:ascii="Times New Roman" w:hAnsi="Times New Roman"/>
                <w:color w:themeColor="text1" w:val="000000"/>
                <w:kern w:val="0"/>
                <w:sz w:val="22"/>
                <w:szCs w:val="22"/>
                <w:lang w:val="ru-RU" w:eastAsia="en-US" w:bidi="ar-SA"/>
              </w:rPr>
              <w:t xml:space="preserve">(комплектующих) к ним </w:t>
            </w:r>
            <w:r>
              <w:rPr>
                <w:rFonts w:eastAsia="Calibri" w:cs="Times New Roman" w:ascii="Times New Roman" w:hAnsi="Times New Roman"/>
                <w:kern w:val="0"/>
                <w:sz w:val="22"/>
                <w:szCs w:val="22"/>
                <w:lang w:val="ru-RU" w:eastAsia="en-US" w:bidi="ar-SA"/>
              </w:rPr>
              <w:t>на весь период гарантийного срока, установленного заводом изготовителем.</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11. В случае гарантийных обязательств Исполнитель за свой счет забирает и поставляет двери и оборудование (комплектующие) Заказчику до указанного места поставки в течение 14 дней.</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12. Поврежденные двери и оборудование (комплектующие) к ним ненадлежащего качества или не тот товар (не согласованный с Заказчиком), не принимаются и должны быть заменены на новый в течение 10 рабочих дней за счет Поставщика с даты уведомления Заказчиком.</w:t>
            </w:r>
          </w:p>
          <w:p>
            <w:pPr>
              <w:pStyle w:val="Normal"/>
              <w:widowControl/>
              <w:suppressAutoHyphens w:val="true"/>
              <w:spacing w:lineRule="auto" w:line="240" w:before="0" w:after="0"/>
              <w:jc w:val="both"/>
              <w:rPr>
                <w:rStyle w:val="2"/>
                <w:rFonts w:eastAsia="Calibri" w:eastAsiaTheme="minorHAnsi"/>
                <w:sz w:val="22"/>
                <w:szCs w:val="22"/>
              </w:rPr>
            </w:pPr>
            <w:r>
              <w:rPr>
                <w:rFonts w:eastAsia="Calibri" w:cs="Times New Roman" w:ascii="Times New Roman" w:hAnsi="Times New Roman"/>
                <w:kern w:val="0"/>
                <w:sz w:val="22"/>
                <w:szCs w:val="22"/>
                <w:lang w:val="ru-RU" w:eastAsia="en-US" w:bidi="ar-SA"/>
              </w:rPr>
              <w:t xml:space="preserve">13. </w:t>
            </w:r>
            <w:r>
              <w:rPr>
                <w:rStyle w:val="2"/>
                <w:rFonts w:eastAsia="Calibri" w:eastAsiaTheme="minorHAnsi"/>
                <w:kern w:val="0"/>
                <w:sz w:val="22"/>
                <w:szCs w:val="22"/>
                <w:lang w:eastAsia="en-US" w:bidi="ar-SA"/>
              </w:rPr>
              <w:t>Поставляемые двери и оборудование (комплектующие) должны иметь паспорта на русском языке и соответствовать требованиям государственных стандартов, в том числе для холодильного оборудования, а также иметь:</w:t>
            </w:r>
          </w:p>
          <w:p>
            <w:pPr>
              <w:pStyle w:val="Normal"/>
              <w:widowControl/>
              <w:suppressAutoHyphens w:val="true"/>
              <w:spacing w:lineRule="auto" w:line="240" w:before="0" w:after="0"/>
              <w:jc w:val="both"/>
              <w:rPr>
                <w:rStyle w:val="2"/>
                <w:rFonts w:eastAsia="Calibri" w:eastAsiaTheme="minorHAnsi"/>
                <w:sz w:val="22"/>
                <w:szCs w:val="22"/>
              </w:rPr>
            </w:pPr>
            <w:r>
              <w:rPr>
                <w:rStyle w:val="2"/>
                <w:rFonts w:eastAsia="Calibri" w:eastAsiaTheme="minorHAnsi"/>
                <w:kern w:val="0"/>
                <w:sz w:val="22"/>
                <w:szCs w:val="22"/>
                <w:lang w:eastAsia="en-US" w:bidi="ar-SA"/>
              </w:rPr>
              <w:t>- сертификаты соответствия государственным стандартам, техническим условиям, выданные в порядке, установленном Госстандартом России;</w:t>
            </w:r>
          </w:p>
          <w:p>
            <w:pPr>
              <w:pStyle w:val="Normal"/>
              <w:widowControl/>
              <w:suppressAutoHyphens w:val="true"/>
              <w:spacing w:lineRule="auto" w:line="240" w:before="0" w:after="0"/>
              <w:jc w:val="both"/>
              <w:rPr>
                <w:rStyle w:val="2"/>
                <w:rFonts w:eastAsia="Calibri" w:eastAsiaTheme="minorHAnsi"/>
                <w:sz w:val="22"/>
                <w:szCs w:val="22"/>
              </w:rPr>
            </w:pPr>
            <w:r>
              <w:rPr>
                <w:rStyle w:val="2"/>
                <w:rFonts w:eastAsia="Calibri" w:eastAsiaTheme="minorHAnsi"/>
                <w:kern w:val="0"/>
                <w:sz w:val="22"/>
                <w:szCs w:val="22"/>
                <w:lang w:eastAsia="en-US" w:bidi="ar-SA"/>
              </w:rPr>
              <w:t>- сертификаты пожарной безопасности, выданные Государственной противопожарной службой;</w:t>
            </w:r>
          </w:p>
          <w:p>
            <w:pPr>
              <w:pStyle w:val="Normal"/>
              <w:widowControl/>
              <w:tabs>
                <w:tab w:val="clear" w:pos="708"/>
                <w:tab w:val="left" w:pos="444" w:leader="none"/>
                <w:tab w:val="left" w:pos="804" w:leader="none"/>
              </w:tabs>
              <w:suppressAutoHyphens w:val="true"/>
              <w:spacing w:lineRule="auto" w:line="240" w:before="0" w:after="0"/>
              <w:jc w:val="both"/>
              <w:rPr>
                <w:rFonts w:ascii="Times New Roman" w:hAnsi="Times New Roman" w:cs="Times New Roman"/>
              </w:rPr>
            </w:pPr>
            <w:r>
              <w:rPr>
                <w:rStyle w:val="2"/>
                <w:rFonts w:eastAsia="Calibri" w:eastAsiaTheme="minorHAnsi"/>
                <w:kern w:val="0"/>
                <w:sz w:val="22"/>
                <w:szCs w:val="22"/>
                <w:lang w:eastAsia="en-US" w:bidi="ar-SA"/>
              </w:rPr>
              <w:t>- сертификаты соответствия по электробезопасности.</w:t>
            </w:r>
          </w:p>
        </w:tc>
      </w:tr>
      <w:tr>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10</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Требования к приемке оборудования</w:t>
            </w:r>
          </w:p>
        </w:tc>
        <w:tc>
          <w:tcPr>
            <w:tcW w:w="5877" w:type="dxa"/>
            <w:tcBorders/>
          </w:tcPr>
          <w:p>
            <w:pPr>
              <w:pStyle w:val="ListParagraph"/>
              <w:widowControl/>
              <w:numPr>
                <w:ilvl w:val="0"/>
                <w:numId w:val="8"/>
              </w:numPr>
              <w:tabs>
                <w:tab w:val="clear" w:pos="708"/>
                <w:tab w:val="left" w:pos="417" w:leader="none"/>
              </w:tabs>
              <w:suppressAutoHyphens w:val="true"/>
              <w:spacing w:lineRule="auto" w:line="240" w:before="0" w:after="0"/>
              <w:ind w:hanging="0" w:left="0"/>
              <w:contextualSpacing/>
              <w:jc w:val="both"/>
              <w:rPr>
                <w:rFonts w:ascii="Times New Roman" w:hAnsi="Times New Roman" w:cs="Times New Roman"/>
                <w:color w:themeColor="text1" w:val="000000"/>
              </w:rPr>
            </w:pPr>
            <w:r>
              <w:rPr>
                <w:rFonts w:cs="Times New Roman" w:ascii="Times New Roman" w:hAnsi="Times New Roman"/>
                <w:color w:themeColor="text1" w:val="000000"/>
                <w:kern w:val="0"/>
                <w:sz w:val="22"/>
                <w:szCs w:val="22"/>
                <w:lang w:val="ru-RU" w:bidi="ar-SA"/>
              </w:rPr>
              <w:t>По факту изготовления дверей оборудования (комплектующих) к ним Исполнитель в письменной форме уведомляет об этом Заказчика.</w:t>
            </w:r>
          </w:p>
          <w:p>
            <w:pPr>
              <w:pStyle w:val="ListParagraph"/>
              <w:widowControl/>
              <w:numPr>
                <w:ilvl w:val="0"/>
                <w:numId w:val="8"/>
              </w:numPr>
              <w:tabs>
                <w:tab w:val="clear" w:pos="708"/>
                <w:tab w:val="left" w:pos="417" w:leader="none"/>
              </w:tabs>
              <w:suppressAutoHyphens w:val="true"/>
              <w:spacing w:lineRule="auto" w:line="240" w:before="0" w:after="0"/>
              <w:ind w:hanging="0" w:left="0"/>
              <w:contextualSpacing/>
              <w:jc w:val="both"/>
              <w:rPr>
                <w:rFonts w:ascii="Times New Roman" w:hAnsi="Times New Roman" w:cs="Times New Roman"/>
                <w:color w:themeColor="text1" w:val="000000"/>
              </w:rPr>
            </w:pPr>
            <w:r>
              <w:rPr>
                <w:rFonts w:cs="Times New Roman" w:ascii="Times New Roman" w:hAnsi="Times New Roman"/>
                <w:color w:themeColor="text1" w:val="000000"/>
                <w:kern w:val="0"/>
                <w:sz w:val="22"/>
                <w:szCs w:val="22"/>
                <w:lang w:val="ru-RU" w:bidi="ar-SA"/>
              </w:rPr>
              <w:t>Осмотр дверей и оборудования (комплектующих) по количеству, соответствию упаковки, на соответствие данных на упаковке данным, содержащимся в документации (паспорт, сертификат соответствия, сопроводительные расчетные документы, транспортные документы, инструкции по эксплуатации и монтажу и др.), на полноту и правильность оформления сопроводительных документов производится при поставке дверей на Объект капитального строительства «Агропромышленный парк «Черногорский».</w:t>
            </w:r>
          </w:p>
          <w:p>
            <w:pPr>
              <w:pStyle w:val="ListParagraph"/>
              <w:widowControl/>
              <w:numPr>
                <w:ilvl w:val="0"/>
                <w:numId w:val="8"/>
              </w:numPr>
              <w:tabs>
                <w:tab w:val="clear" w:pos="708"/>
                <w:tab w:val="left" w:pos="417" w:leader="none"/>
              </w:tabs>
              <w:suppressAutoHyphens w:val="true"/>
              <w:spacing w:lineRule="auto" w:line="240" w:before="0" w:after="0"/>
              <w:ind w:hanging="0" w:left="0"/>
              <w:contextualSpacing/>
              <w:jc w:val="both"/>
              <w:rPr>
                <w:rFonts w:ascii="Times New Roman" w:hAnsi="Times New Roman" w:cs="Times New Roman"/>
                <w:color w:themeColor="text1" w:val="000000"/>
              </w:rPr>
            </w:pPr>
            <w:r>
              <w:rPr>
                <w:rFonts w:cs="Times New Roman" w:ascii="Times New Roman" w:hAnsi="Times New Roman"/>
                <w:color w:themeColor="text1" w:val="000000"/>
                <w:kern w:val="0"/>
                <w:sz w:val="22"/>
                <w:szCs w:val="22"/>
                <w:lang w:val="ru-RU" w:bidi="ar-SA"/>
              </w:rPr>
              <w:t>Окончательная приемка дверей, оборудования (комплектующих) и монтажных работ производится после полного монтажа дверей комиссионно путем подписания Акта приемки выполненных работ (КС-2). Комиссия утверждается руководителем ООО «Управляющая компания Инфраструктура Хакасии».</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4.</w:t>
              <w:tab/>
              <w:t>Заказчик обязан информировать в письменной форме Исполнителя о конкретных сроках поставки до места поставки (монтажа) и о строительной готовности Объекта.</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5. Недостатки, обнаруженные в ходе приемки, фиксируются в соответствующем акте, подписываемом представителями Заказчика и Поставщика с указанием срока и порядка их устранения.</w:t>
            </w:r>
          </w:p>
          <w:p>
            <w:pPr>
              <w:pStyle w:val="Normal"/>
              <w:widowControl/>
              <w:suppressAutoHyphens w:val="true"/>
              <w:spacing w:lineRule="auto" w:line="240" w:before="0" w:after="0"/>
              <w:jc w:val="both"/>
              <w:rPr>
                <w:rFonts w:ascii="Times New Roman" w:hAnsi="Times New Roman" w:eastAsia="Calibri" w:cs="Times New Roman"/>
                <w:color w:themeColor="text1" w:val="000000"/>
              </w:rPr>
            </w:pPr>
            <w:r>
              <w:rPr>
                <w:rFonts w:eastAsia="Calibri" w:cs="Times New Roman" w:ascii="Times New Roman" w:hAnsi="Times New Roman"/>
                <w:color w:themeColor="text1" w:val="000000"/>
                <w:kern w:val="0"/>
                <w:sz w:val="22"/>
                <w:szCs w:val="22"/>
                <w:lang w:val="ru-RU" w:eastAsia="en-US" w:bidi="ar-SA"/>
              </w:rPr>
              <w:t>6. Оборудование, неудовлетворяющие требованиям настоящего Технического задания, не принимаются Заказчиком.</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r>
          </w:p>
        </w:tc>
      </w:tr>
      <w:tr>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11</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Гарантия исполнителя</w:t>
            </w:r>
          </w:p>
        </w:tc>
        <w:tc>
          <w:tcPr>
            <w:tcW w:w="5877" w:type="dxa"/>
            <w:tcBorders/>
          </w:tcPr>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1. Гарантийный срок устанавливается с момента подписания Заказчиком  Акта приемки выполненных работ (КС-2) и должен быть не менее 3 (трех) лет.</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 xml:space="preserve">2. В случае обнаружения в процессе эксплуатации после окончательной приемки дверей и оборудования (комплектующих) и подписания </w:t>
            </w:r>
            <w:r>
              <w:rPr>
                <w:rFonts w:eastAsia="Calibri" w:cs="Times New Roman" w:ascii="Times New Roman" w:hAnsi="Times New Roman"/>
                <w:color w:themeColor="text1" w:val="000000"/>
                <w:kern w:val="0"/>
                <w:sz w:val="22"/>
                <w:szCs w:val="22"/>
                <w:shd w:fill="FFFFFF" w:val="clear"/>
                <w:lang w:val="ru-RU" w:eastAsia="en-US" w:bidi="ar-SA"/>
              </w:rPr>
              <w:t>комиссионного Акта,</w:t>
            </w:r>
            <w:r>
              <w:rPr>
                <w:rFonts w:eastAsia="Calibri" w:cs="Times New Roman" w:ascii="Times New Roman" w:hAnsi="Times New Roman"/>
                <w:color w:themeColor="text1" w:val="000000"/>
                <w:kern w:val="0"/>
                <w:sz w:val="22"/>
                <w:szCs w:val="22"/>
                <w:lang w:val="ru-RU" w:eastAsia="en-US" w:bidi="ar-SA"/>
              </w:rPr>
              <w:t xml:space="preserve"> дефектов, ухудшающих результат работ, или иных недостатков (обнаружение вспучин, трещин, некачественной проварки металла, нарушения ГОСТа по сварным соединениям, дефектов и т.д.), Заказчик уведомляет об этом Исполнителя в целях их устранения.</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3. Исполнитель должен обеспечить срочное (выезд на объект в течение 24 ч.) выполнение работ по гарантийному обслуживанию оборудования.</w:t>
            </w:r>
          </w:p>
        </w:tc>
      </w:tr>
      <w:tr>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12</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Документация, предъявляемая Заказчику</w:t>
            </w:r>
          </w:p>
        </w:tc>
        <w:tc>
          <w:tcPr>
            <w:tcW w:w="5877"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Исполнитель предъявляет Заказчику</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1. Акт выполненных работ по форме КС-2, справка о стоимости выполненных работ по форме КС-3, акт выполненных работ по форме УПД, исполнительную документацию в текстовой части и графическом виде.</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3. Сертификаты и паспорта на двери оборудование (комплектующие) (копии направляются в электронном виде перед отгрузкой) от завода изготовителя.</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4. Руководство по эксплуатации, документацию по плановому ремонту (при необходимости его проведения).</w:t>
            </w:r>
          </w:p>
          <w:p>
            <w:pPr>
              <w:pStyle w:val="Normal"/>
              <w:widowControl/>
              <w:suppressAutoHyphens w:val="true"/>
              <w:spacing w:lineRule="auto" w:line="240" w:before="0" w:after="0"/>
              <w:jc w:val="both"/>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Вся предоставляемая документация должна быть на русском языке.</w:t>
            </w:r>
          </w:p>
          <w:p>
            <w:pPr>
              <w:pStyle w:val="Normal"/>
              <w:widowControl/>
              <w:suppressAutoHyphens w:val="true"/>
              <w:spacing w:lineRule="auto" w:line="240" w:before="0" w:after="0"/>
              <w:jc w:val="both"/>
              <w:rPr>
                <w:rFonts w:ascii="Calibri" w:hAnsi="Calibri" w:eastAsia="Calibri"/>
              </w:rPr>
            </w:pPr>
            <w:r>
              <w:rPr>
                <w:rFonts w:eastAsia="Calibri" w:cs="Times New Roman" w:ascii="Times New Roman" w:hAnsi="Times New Roman"/>
                <w:color w:themeColor="text1" w:val="000000"/>
                <w:kern w:val="0"/>
                <w:sz w:val="22"/>
                <w:szCs w:val="22"/>
                <w:lang w:val="ru-RU" w:eastAsia="en-US" w:bidi="ar-SA"/>
              </w:rPr>
              <w:t>5. Акты освидетельствования скрытых работ:</w:t>
            </w:r>
          </w:p>
          <w:p>
            <w:pPr>
              <w:pStyle w:val="Normal"/>
              <w:widowControl/>
              <w:suppressAutoHyphens w:val="true"/>
              <w:spacing w:lineRule="auto" w:line="240" w:before="0" w:after="0"/>
              <w:jc w:val="both"/>
              <w:rPr>
                <w:rFonts w:ascii="Calibri" w:hAnsi="Calibri" w:eastAsia="Calibri"/>
              </w:rPr>
            </w:pPr>
            <w:r>
              <w:rPr>
                <w:rFonts w:eastAsia="Calibri" w:cs="Times New Roman" w:ascii="Times New Roman" w:hAnsi="Times New Roman"/>
                <w:color w:themeColor="text1" w:val="000000"/>
                <w:kern w:val="0"/>
                <w:sz w:val="22"/>
                <w:szCs w:val="22"/>
                <w:lang w:val="ru-RU" w:eastAsia="en-US" w:bidi="ar-SA"/>
              </w:rPr>
              <w:t>-</w:t>
              <w:tab/>
              <w:t>на монтаж и крепление дверей;</w:t>
            </w:r>
          </w:p>
          <w:p>
            <w:pPr>
              <w:pStyle w:val="Normal"/>
              <w:widowControl/>
              <w:suppressAutoHyphens w:val="true"/>
              <w:spacing w:lineRule="auto" w:line="240" w:before="0" w:after="0"/>
              <w:jc w:val="both"/>
              <w:rPr>
                <w:rFonts w:ascii="Calibri" w:hAnsi="Calibri" w:eastAsia="Calibri"/>
              </w:rPr>
            </w:pPr>
            <w:r>
              <w:rPr>
                <w:rFonts w:eastAsia="Calibri" w:cs="Times New Roman" w:ascii="Times New Roman" w:hAnsi="Times New Roman"/>
                <w:color w:themeColor="text1" w:val="000000"/>
                <w:kern w:val="0"/>
                <w:sz w:val="22"/>
                <w:szCs w:val="22"/>
                <w:lang w:val="ru-RU" w:eastAsia="en-US" w:bidi="ar-SA"/>
              </w:rPr>
              <w:t>-</w:t>
              <w:tab/>
              <w:t>на устройство монтажного шва примыкания конструкций заполнения проемов.</w:t>
            </w:r>
          </w:p>
          <w:p>
            <w:pPr>
              <w:pStyle w:val="Normal"/>
              <w:widowControl/>
              <w:suppressAutoHyphens w:val="true"/>
              <w:spacing w:lineRule="auto" w:line="240" w:before="0" w:after="0"/>
              <w:jc w:val="both"/>
              <w:rPr>
                <w:rFonts w:ascii="Calibri" w:hAnsi="Calibri" w:eastAsia="Calibri"/>
              </w:rPr>
            </w:pPr>
            <w:r>
              <w:rPr>
                <w:rFonts w:eastAsia="Calibri" w:cs="Times New Roman" w:ascii="Times New Roman" w:hAnsi="Times New Roman"/>
                <w:color w:themeColor="text1" w:val="000000"/>
                <w:kern w:val="0"/>
                <w:sz w:val="22"/>
                <w:szCs w:val="22"/>
                <w:lang w:val="ru-RU" w:eastAsia="en-US" w:bidi="ar-SA"/>
              </w:rPr>
              <w:t>6. Паспорта и сертификаты пожарной безопасности на двери противопожарные.</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7. Документы о качестве на материалы крепления, материалы для устройства монтажных швов примыкания, доводчики.</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8. Лицензия МЧС, выданная подрядной организации на выполнение работ по заполнению проемов в противопожарных преградах.</w:t>
            </w:r>
          </w:p>
          <w:p>
            <w:pPr>
              <w:pStyle w:val="Normal"/>
              <w:widowControl/>
              <w:suppressAutoHyphens w:val="true"/>
              <w:spacing w:lineRule="auto" w:line="240" w:before="0" w:after="0"/>
              <w:jc w:val="both"/>
              <w:rPr>
                <w:rFonts w:ascii="Times New Roman" w:hAnsi="Times New Roman" w:cs="Times New Roman"/>
                <w:color w:val="FF0000"/>
              </w:rPr>
            </w:pPr>
            <w:r>
              <w:rPr>
                <w:rFonts w:eastAsia="Calibri" w:cs="Times New Roman" w:ascii="Times New Roman" w:hAnsi="Times New Roman"/>
                <w:color w:themeColor="text1" w:val="000000"/>
                <w:kern w:val="0"/>
                <w:sz w:val="22"/>
                <w:szCs w:val="22"/>
                <w:lang w:val="ru-RU" w:eastAsia="en-US" w:bidi="ar-SA"/>
              </w:rPr>
              <w:t xml:space="preserve">9. </w:t>
            </w:r>
            <w:r>
              <w:rPr>
                <w:rFonts w:eastAsia="Calibri" w:cs="Times New Roman" w:ascii="Times New Roman" w:hAnsi="Times New Roman"/>
                <w:color w:themeColor="text1" w:val="000000"/>
                <w:kern w:val="0"/>
                <w:sz w:val="22"/>
                <w:szCs w:val="22"/>
                <w:shd w:fill="FFFFFF" w:val="clear"/>
                <w:lang w:val="ru-RU" w:eastAsia="en-US" w:bidi="ar-SA"/>
              </w:rPr>
              <w:t>Журнал проведения работ.</w:t>
            </w:r>
          </w:p>
        </w:tc>
      </w:tr>
      <w:tr>
        <w:trPr/>
        <w:tc>
          <w:tcPr>
            <w:tcW w:w="59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13</w:t>
            </w:r>
          </w:p>
        </w:tc>
        <w:tc>
          <w:tcPr>
            <w:tcW w:w="2874"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Дополнительные требования</w:t>
            </w:r>
          </w:p>
        </w:tc>
        <w:tc>
          <w:tcPr>
            <w:tcW w:w="5877"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Все дополнительные решения, обоюдно принимаемые Сторонами в процессе исполнения работ, оформляются письменно соответствующими документами.</w:t>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ind w:firstLine="720"/>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Приложение №6 к конкурсной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документации на право заключения договора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 изготовление, поставку и монтаж дверей промышленной серии охлаждаемых помещений</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строящегося объекта капитального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строительства «Агропромышленный парк «Черногорский»</w:t>
      </w:r>
    </w:p>
    <w:p>
      <w:pPr>
        <w:pStyle w:val="Normal"/>
        <w:tabs>
          <w:tab w:val="clear" w:pos="708"/>
          <w:tab w:val="left" w:pos="426" w:leader="none"/>
          <w:tab w:val="left" w:pos="6456"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t xml:space="preserve">ДОГОВОР № </w:t>
      </w:r>
    </w:p>
    <w:p>
      <w:pPr>
        <w:pStyle w:val="Normal"/>
        <w:tabs>
          <w:tab w:val="clear" w:pos="708"/>
          <w:tab w:val="left" w:pos="426" w:leader="none"/>
          <w:tab w:val="left" w:pos="6456" w:leader="none"/>
        </w:tabs>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t xml:space="preserve">на изготовление, поставку и монтаж дверей промышленной серии  </w:t>
      </w:r>
    </w:p>
    <w:p>
      <w:pPr>
        <w:pStyle w:val="Normal"/>
        <w:tabs>
          <w:tab w:val="clear" w:pos="708"/>
          <w:tab w:val="left" w:pos="426" w:leader="none"/>
          <w:tab w:val="left" w:pos="645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г. Абакан                                                                                                       «___»_______ 2026 г. </w:t>
      </w:r>
    </w:p>
    <w:p>
      <w:pPr>
        <w:pStyle w:val="Normal"/>
        <w:tabs>
          <w:tab w:val="clear" w:pos="708"/>
          <w:tab w:val="left" w:pos="426" w:leader="none"/>
          <w:tab w:val="left" w:pos="645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lineRule="auto" w:line="240" w:before="0" w:after="0"/>
        <w:ind w:firstLine="851"/>
        <w:jc w:val="both"/>
        <w:rPr>
          <w:rFonts w:ascii="Times New Roman" w:hAnsi="Times New Roman" w:cs="Times New Roman"/>
          <w:sz w:val="24"/>
          <w:szCs w:val="24"/>
        </w:rPr>
      </w:pPr>
      <w:r>
        <w:rPr>
          <w:rFonts w:cs="Times New Roman" w:ascii="Times New Roman" w:hAnsi="Times New Roman"/>
          <w:sz w:val="24"/>
          <w:szCs w:val="24"/>
        </w:rPr>
        <w:t xml:space="preserve">Общество с ограниченной ответственностью «Управляющая компания Инфраструктура Хакасии», именуемое в дальнейшем «Заказчик», в лице директора Пауля Дениса Анатольевича, действующего на основании Устава, с одной стороны, и </w:t>
      </w:r>
    </w:p>
    <w:p>
      <w:pPr>
        <w:pStyle w:val="Normal"/>
        <w:tabs>
          <w:tab w:val="clear" w:pos="708"/>
          <w:tab w:val="left" w:pos="426" w:leader="none"/>
          <w:tab w:val="left" w:pos="6456" w:leader="none"/>
        </w:tabs>
        <w:spacing w:lineRule="auto" w:line="240" w:before="0" w:after="0"/>
        <w:ind w:firstLine="851"/>
        <w:jc w:val="both"/>
        <w:rPr>
          <w:rFonts w:ascii="Times New Roman" w:hAnsi="Times New Roman" w:cs="Times New Roman"/>
          <w:sz w:val="24"/>
          <w:szCs w:val="24"/>
        </w:rPr>
      </w:pPr>
      <w:r>
        <w:rPr>
          <w:rFonts w:cs="Times New Roman" w:ascii="Times New Roman" w:hAnsi="Times New Roman"/>
          <w:sz w:val="24"/>
          <w:szCs w:val="24"/>
        </w:rPr>
        <w:t>_______________________, именуемое в дальнейшем «Исполнитель», в лице ___________________, действующего на основании ______, с другой стороны, в дальнейшем совместно именуемые «Стороны», по результатам проведенной закупки (процедуре отбора Контрагентов) в форме конкурса на право заключения договора на изготовление, поставку и монтаж дверей охлаждаемых помещений строящегося объекта капитального строительства «Агропромышленный парк «Черногорский», на основании Протокола _______ №___ от _______, заключили настоящий Договор (далее по тексту – Договор) о нижеследующем:</w:t>
      </w:r>
    </w:p>
    <w:p>
      <w:pPr>
        <w:pStyle w:val="Normal"/>
        <w:tabs>
          <w:tab w:val="clear" w:pos="708"/>
          <w:tab w:val="left" w:pos="426" w:leader="none"/>
          <w:tab w:val="left" w:pos="6456" w:leader="none"/>
        </w:tabs>
        <w:spacing w:lineRule="auto" w:line="240" w:before="0" w:after="0"/>
        <w:ind w:firstLine="851"/>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2"/>
          <w:numId w:val="3"/>
        </w:numPr>
        <w:tabs>
          <w:tab w:val="clear" w:pos="708"/>
          <w:tab w:val="left" w:pos="426" w:leader="none"/>
          <w:tab w:val="left" w:pos="6456" w:leader="none"/>
        </w:tabs>
        <w:spacing w:lineRule="auto" w:line="240" w:before="0" w:after="0"/>
        <w:ind w:hanging="1571" w:left="1571"/>
        <w:contextualSpacing/>
        <w:jc w:val="center"/>
        <w:rPr>
          <w:rFonts w:ascii="Times New Roman" w:hAnsi="Times New Roman" w:cs="Times New Roman"/>
          <w:sz w:val="24"/>
          <w:szCs w:val="24"/>
        </w:rPr>
      </w:pPr>
      <w:r>
        <w:rPr>
          <w:rFonts w:cs="Times New Roman" w:ascii="Times New Roman" w:hAnsi="Times New Roman"/>
          <w:sz w:val="24"/>
          <w:szCs w:val="24"/>
        </w:rPr>
        <w:t xml:space="preserve">ПРЕДМЕТ ДОГОВОРА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2" w:left="0"/>
        <w:contextualSpacing/>
        <w:jc w:val="both"/>
        <w:rPr>
          <w:rFonts w:ascii="Times New Roman" w:hAnsi="Times New Roman" w:cs="Times New Roman"/>
          <w:sz w:val="24"/>
          <w:szCs w:val="24"/>
        </w:rPr>
      </w:pPr>
      <w:r>
        <w:rPr>
          <w:rFonts w:cs="Times New Roman" w:ascii="Times New Roman" w:hAnsi="Times New Roman"/>
          <w:sz w:val="24"/>
          <w:szCs w:val="24"/>
        </w:rPr>
        <w:t xml:space="preserve">В соответствии с настоящим Договором Исполнитель обязуется в порядке и сроки, предусмотренные Договором, изготовить и осуществить поставку 21 (двадцати одной) двери промышленной серии (далее – Двери) для охлаждаемых помещений строящегося объекта капитального строительства «Агропромышленный парк «Черногорский», а также произвести их монтаж собственными силами или с привлечением третьих лиц.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2" w:left="0"/>
        <w:contextualSpacing/>
        <w:jc w:val="both"/>
        <w:rPr>
          <w:rFonts w:ascii="Times New Roman" w:hAnsi="Times New Roman" w:cs="Times New Roman"/>
          <w:sz w:val="24"/>
          <w:szCs w:val="24"/>
        </w:rPr>
      </w:pPr>
      <w:r>
        <w:rPr>
          <w:rFonts w:cs="Times New Roman" w:ascii="Times New Roman" w:hAnsi="Times New Roman"/>
          <w:sz w:val="24"/>
          <w:szCs w:val="24"/>
        </w:rPr>
        <w:t>Требования к дверям, их количество, технические характеристики, описание монтажных работ определены в Техническом задании на изготовление, поставку и монтаж дверей охлаждаемых помещений строящегося объекта капитального строительства «Агропромышленный парк «Черногорский» (Приложение №1 к настоящему Договору) Ведомостях объемов работ (Приложение №2 к настоящему Договору), Схеме расположения дверей в охлаждаемых помещениях (Приложение №3 к настоящему Договору).</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Для оперативного решения вопросов, которые могут возникнуть в процессе исполнения настоящего Договора, Стороны назначают ответственных лиц:</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ответственное лицо со стороны Заказчика – главный инженер Сыроквашин Сергей Викторович;</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ответственное лицо со стороны Технического заказчика – директор Журавлев Антон Сергеевич;</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ответственное лицо со стороны Исполнителя - ______________________________.</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xml:space="preserve">1.4. На основании Договора № 06/26-01.4 на выполнение функций Технического заказчика от 29 апреля 2026 г. и Договора №07/26-1.04 оказания услуг по строительному контролю от 05.05.2026 г. общество с ограниченной ответственностью «Контроль» (ИНН 1901126184) осуществляет функции Технического заказчика и осуществляет строительный контроль.   </w:t>
      </w:r>
    </w:p>
    <w:p>
      <w:pPr>
        <w:pStyle w:val="ListParagraph"/>
        <w:tabs>
          <w:tab w:val="clear" w:pos="708"/>
          <w:tab w:val="left" w:pos="426" w:leader="none"/>
          <w:tab w:val="left" w:pos="1418" w:leader="none"/>
          <w:tab w:val="left" w:pos="6456" w:leader="none"/>
        </w:tabs>
        <w:spacing w:lineRule="auto" w:line="240" w:before="0" w:after="0"/>
        <w:ind w:left="851"/>
        <w:contextualSpacing/>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0"/>
        </w:numPr>
        <w:tabs>
          <w:tab w:val="clear" w:pos="708"/>
          <w:tab w:val="left" w:pos="426" w:leader="none"/>
          <w:tab w:val="left" w:pos="1418" w:leader="none"/>
          <w:tab w:val="left" w:pos="6456" w:leader="none"/>
        </w:tabs>
        <w:spacing w:lineRule="auto" w:line="240" w:before="0" w:after="0"/>
        <w:contextualSpacing/>
        <w:jc w:val="center"/>
        <w:rPr>
          <w:rFonts w:ascii="Times New Roman" w:hAnsi="Times New Roman" w:cs="Times New Roman"/>
          <w:sz w:val="24"/>
          <w:szCs w:val="24"/>
        </w:rPr>
      </w:pPr>
      <w:r>
        <w:rPr>
          <w:rFonts w:cs="Times New Roman" w:ascii="Times New Roman" w:hAnsi="Times New Roman"/>
          <w:sz w:val="24"/>
          <w:szCs w:val="24"/>
        </w:rPr>
        <w:t xml:space="preserve">ЦЕНА ДОГОВОРА И УСЛОВИЯ ОПЛАТЫ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xml:space="preserve">Цена настоящего Договора составляет ____________ рублей _______ копеек, в том числе НДС  _______ рублей ____ копеек (если Исполнитель освобожден от уплаты НДС, то указывается, что НДС не облагается), с учетом применения коэффициента снижения в размере ____ % от сметной стоимости, указанной в Приложении №4 к настоящему Договору – Смете.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xml:space="preserve">Цена Договора включает в себя стоимость 21 двери, упаковку и маркировку, хранение (на условиях, предусмотренных настоящим Договором), расходы на транспортировку (доставку), все виды погрузочно-разгрузочных работ, монтаж/установку, а также все расходы на уплату налогов, пошлин, сборов и других обязательных платежей, прочие расходы Исполнителя, связанные с исполнением обязательств по настоящему Договору.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xml:space="preserve">Цена Договора является твердой и определяется на весь срок его исполнения за исключением случаев, предусмотренных настоящим Договором.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color w:themeColor="text1" w:val="000000"/>
          <w:sz w:val="24"/>
          <w:szCs w:val="24"/>
        </w:rPr>
        <w:t xml:space="preserve">Договорная цена может быть изменена в случае внесения необходимых изменений (дополнений) в проектную и рабочую документацию в период действия Договора, влекущих увеличение/уменьшение объема монтажных работ либо в случае изменения ставки НДС - стоимость услуги подлежит корректировке в сторону уменьшения (при снижении ставки НДС) /увеличения (при повышении ставки НДС) на соответствующую сумму. </w:t>
      </w:r>
      <w:r>
        <w:rPr>
          <w:rFonts w:cs="Times New Roman" w:ascii="Times New Roman" w:hAnsi="Times New Roman"/>
          <w:sz w:val="24"/>
          <w:szCs w:val="24"/>
        </w:rPr>
        <w:t xml:space="preserve">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xml:space="preserve">Финансирование работ/услуг, предусмотренных настоящим Договором, производится за счет средств субсидии в соответствии с Соглашением о предоставлении из республиканского бюджета Республики Хакасия субсидии на создание и (или) развитие индустриальных (промышленных) парков, промышленных технопарков и технопарков в сфере высоких технологий в рамках индивидуальной программы социально-экономического развития Республики Хакасия на 2025 – 2030 годы (ИГК №005550013924РВТ0008020142) №10-2025-071601 от 21.11.2025 г.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xml:space="preserve">Оплата по Договору осуществляется в сроки, предусмотренные им, с казначейского счета, открытого Заказчиком в Управлении Федерального казначейства по Республике Хакасия, после осуществления Управлением Федерального казначейства по Республике Хакасия санкционирования операций с целевыми средствами участников казначейского сопровождения в соответствии с порядком санкционирования, исходя из условий предоставления субсидии.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xml:space="preserve">Обязательства Заказчика по оплате считаются исполненными в день списания денежных средств со счета Заказчика.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Оплата по настоящему Договору осуществляется путем перечисления денежных средств на расчетный счет Поставщика в следующем порядке и сроки:</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sz w:val="24"/>
          <w:szCs w:val="24"/>
        </w:rPr>
        <w:t xml:space="preserve">- предоплата в размере </w:t>
      </w:r>
      <w:r>
        <w:rPr>
          <w:rFonts w:cs="Times New Roman" w:ascii="Times New Roman" w:hAnsi="Times New Roman"/>
          <w:sz w:val="24"/>
          <w:szCs w:val="24"/>
          <w:shd w:fill="FFFFFF" w:val="clear"/>
        </w:rPr>
        <w:t>70%</w:t>
      </w:r>
      <w:r>
        <w:rPr>
          <w:rFonts w:cs="Times New Roman" w:ascii="Times New Roman" w:hAnsi="Times New Roman"/>
          <w:sz w:val="24"/>
          <w:szCs w:val="24"/>
        </w:rPr>
        <w:t>( _________________ рублей) от цены настоящего Договора Заказчиком производится в течение 15 (пятнадцати) рабочих дней после заключения настоящего Договора;</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окончательный расчёт в размере </w:t>
      </w:r>
      <w:r>
        <w:rPr>
          <w:rFonts w:cs="Times New Roman" w:ascii="Times New Roman" w:hAnsi="Times New Roman"/>
          <w:color w:themeColor="text1" w:val="000000"/>
          <w:sz w:val="24"/>
          <w:szCs w:val="24"/>
          <w:shd w:fill="FFFFFF" w:val="clear"/>
        </w:rPr>
        <w:t>30 %</w:t>
      </w:r>
      <w:r>
        <w:rPr>
          <w:rFonts w:cs="Times New Roman" w:ascii="Times New Roman" w:hAnsi="Times New Roman"/>
          <w:color w:themeColor="text1" w:val="000000"/>
          <w:sz w:val="24"/>
          <w:szCs w:val="24"/>
        </w:rPr>
        <w:t xml:space="preserve"> (___________ рублей) </w:t>
      </w:r>
      <w:r>
        <w:rPr>
          <w:rFonts w:cs="Times New Roman" w:ascii="Times New Roman" w:hAnsi="Times New Roman"/>
          <w:sz w:val="24"/>
          <w:szCs w:val="24"/>
        </w:rPr>
        <w:t>от цены настоящего Договора</w:t>
      </w:r>
      <w:r>
        <w:rPr>
          <w:rFonts w:cs="Times New Roman" w:ascii="Times New Roman" w:hAnsi="Times New Roman"/>
          <w:color w:themeColor="text1" w:val="000000"/>
          <w:sz w:val="24"/>
          <w:szCs w:val="24"/>
        </w:rPr>
        <w:t xml:space="preserve"> производится в течение 10 (десяти) рабочих дней после полного монтажа</w:t>
      </w: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4"/>
          <w:szCs w:val="24"/>
        </w:rPr>
        <w:t xml:space="preserve">всех дверей, представления Исполнителем и подписания Сторонами всех документов, необходимых для приемки, предусмотренных Договором. </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2.9. Оплата по настоящему Договору осуществляется с применением коэффициента снижения, предусмотренного п. 2.1. настоящего Договора. </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2.10. </w:t>
      </w:r>
      <w:r>
        <w:rPr>
          <w:rFonts w:cs="Times New Roman" w:ascii="Times New Roman" w:hAnsi="Times New Roman"/>
          <w:color w:themeColor="text1" w:val="000000"/>
          <w:sz w:val="24"/>
          <w:szCs w:val="24"/>
          <w:shd w:fill="FFFFFF" w:val="clear"/>
        </w:rPr>
        <w:t>При непредставлении или несоблюдении Исполнителем правил оформления актов по форме КС-2, справок по форме КС-3, актов выполненных работ по форме УПД,</w:t>
      </w:r>
      <w:r>
        <w:rPr>
          <w:rFonts w:cs="Times New Roman" w:ascii="Times New Roman" w:hAnsi="Times New Roman"/>
          <w:color w:themeColor="text1" w:val="000000"/>
          <w:sz w:val="24"/>
          <w:szCs w:val="24"/>
        </w:rPr>
        <w:t xml:space="preserve"> актов освидетельствования скрытых работ, прочих документов, установленных настоящим Договором или необходимых к представлению в соответствии с действующим законодательством, Заказчик вправе задержать платежи, предусмотренные Договором, и произвести оплату в сроки, предусмотренные п.2.8. настоящего Договора, после представления недостающего (недостающих) и/или исправленных, в соответствии с требованиями, документов. </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2.11. В случае расторжения настоящего Договора Исполнитель обязан произвести возврат уплаченных Заказчиком денежных средств в размере, превышающем стоимость выполненных и принятых Заказчиком работ/услуг, подтвержденных актом сверки, в течение  3 (трех) дней с даты расторжения Договора. </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0"/>
          <w:numId w:val="10"/>
        </w:numPr>
        <w:tabs>
          <w:tab w:val="clear" w:pos="708"/>
          <w:tab w:val="left" w:pos="426" w:leader="none"/>
          <w:tab w:val="left" w:pos="1418" w:leader="none"/>
          <w:tab w:val="left" w:pos="6456" w:leader="none"/>
        </w:tabs>
        <w:spacing w:lineRule="auto" w:line="240" w:before="0" w:after="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СРОКИ ВЫПОЛНЕНИЯ РАБОТ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Сроки выполнения обязательств Исполнителя по настоящему Договору предусмотрены Техническим заданием.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Изменение сроков выполнения обязательств по настоящему Договору оформляется путем подписания Сторонами соответствующего Дополнительного соглашения к настоящему Договору.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Заказчик вправе, на основании письменного обращения Исполнителя, изменить сроки исполнения части обязательств Исполнителя без изменения окончательного срока исполнения.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Срок исполнения монтажных работ может быть изменен по инициативе Заказчика в связи со строительной неготовностью помещения.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При увеличении сроков производства монтажных работ в связи со строительной неготовностью Объекта на срок, не превышающий 2 (двух) календарных месяцев, хранение дверей на территории Исполнителя входит в цену настоящего Договора.      </w:t>
      </w:r>
    </w:p>
    <w:p>
      <w:pPr>
        <w:pStyle w:val="ListParagraph"/>
        <w:tabs>
          <w:tab w:val="clear" w:pos="708"/>
          <w:tab w:val="left" w:pos="426" w:leader="none"/>
          <w:tab w:val="left" w:pos="1418" w:leader="none"/>
          <w:tab w:val="left" w:pos="6456"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p>
    <w:p>
      <w:pPr>
        <w:pStyle w:val="ListParagraph"/>
        <w:numPr>
          <w:ilvl w:val="0"/>
          <w:numId w:val="10"/>
        </w:numPr>
        <w:tabs>
          <w:tab w:val="clear" w:pos="708"/>
          <w:tab w:val="left" w:pos="426" w:leader="none"/>
          <w:tab w:val="left" w:pos="1418" w:leader="none"/>
          <w:tab w:val="left" w:pos="6456" w:leader="none"/>
        </w:tabs>
        <w:spacing w:lineRule="auto" w:line="240" w:before="0" w:after="0"/>
        <w:ind w:firstLine="851" w:left="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ПРАВА И ОБЯЗАННОСТИ СТОРОН</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rPr>
          <w:rFonts w:ascii="Times New Roman" w:hAnsi="Times New Roman" w:cs="Times New Roman"/>
          <w:color w:themeColor="text1" w:val="000000"/>
          <w:sz w:val="24"/>
          <w:szCs w:val="24"/>
          <w:u w:val="single"/>
        </w:rPr>
      </w:pPr>
      <w:r>
        <w:rPr>
          <w:rFonts w:cs="Times New Roman" w:ascii="Times New Roman" w:hAnsi="Times New Roman"/>
          <w:color w:themeColor="text1" w:val="000000"/>
          <w:sz w:val="24"/>
          <w:szCs w:val="24"/>
          <w:u w:val="single"/>
        </w:rPr>
        <w:t>Заказчик обязуется:</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Предоставить Исполнителю всю имеющуюся у него информацию и документы (копии документов), относящиеся к предмету Договора и необходимые для исполнения обязательств Исполнителем;</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Своевременно производить осмотр и приемку дверей и оборудования (комплектующих), а также производить оплату по Договору;</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shd w:fill="FFFFFF" w:val="clear"/>
        </w:rPr>
      </w:pPr>
      <w:r>
        <w:rPr>
          <w:rFonts w:cs="Times New Roman" w:ascii="Times New Roman" w:hAnsi="Times New Roman"/>
          <w:color w:themeColor="text1" w:val="000000"/>
          <w:sz w:val="24"/>
          <w:szCs w:val="24"/>
          <w:shd w:fill="FFFFFF" w:val="clear"/>
        </w:rPr>
        <w:t xml:space="preserve">Предоставить помещение для хранения дверей на время производства монтажных работ; </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Выполнять иные обязательства, предусмотренные Договором.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u w:val="single"/>
        </w:rPr>
      </w:pPr>
      <w:r>
        <w:rPr>
          <w:rFonts w:cs="Times New Roman" w:ascii="Times New Roman" w:hAnsi="Times New Roman"/>
          <w:color w:themeColor="text1" w:val="000000"/>
          <w:sz w:val="24"/>
          <w:szCs w:val="24"/>
          <w:u w:val="single"/>
        </w:rPr>
        <w:t xml:space="preserve">Заказчик вправе: </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Требовать от Исполнителя надлежащего исполнения обязательств, предусмотренных Договором;</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Запрашивать у Исполнителя информацию об исполнении им обязательств по Договору;</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Проверять в любое время ход исполнения обязательств Исполнителем по Договору, в том числе, с привлечением третьих лиц – Технического заказчика и лица, осуществляющего функции строительного контроля (ООО «Контроль» ИНН 1901126184);</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Требовать от Исполнителя устранения недостатков, допущенных при исполнении Договора, в срок, указанный в направленном в письменной форме требовании;</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Отказаться от приемки изготовленных дверей, работ, выполненных с нарушением требований и (или) качества, предусмотренных настоящим Договором, Проектной документацией «Агропромышленный парк «Черногорский» или требований нормативных актов;</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vanish/>
          <w:color w:themeColor="text1" w:val="000000"/>
          <w:sz w:val="24"/>
          <w:szCs w:val="24"/>
        </w:rPr>
        <w:t xml:space="preserve">Расторгнуть </w:t>
      </w:r>
      <w:r>
        <w:rPr>
          <w:rFonts w:cs="Times New Roman" w:ascii="Times New Roman" w:hAnsi="Times New Roman"/>
          <w:color w:themeColor="text1" w:val="000000"/>
          <w:sz w:val="24"/>
          <w:szCs w:val="24"/>
        </w:rPr>
        <w:t xml:space="preserve"> Отказаться от исполнения Договора в одностороннем порядке в соответствии с гражданским законодательством Российской Федерации и настоящим Договором;</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vanish/>
          <w:color w:themeColor="text1" w:val="000000"/>
          <w:sz w:val="24"/>
          <w:szCs w:val="24"/>
        </w:rPr>
        <w:t xml:space="preserve">Требовать </w:t>
      </w:r>
      <w:r>
        <w:rPr>
          <w:rFonts w:cs="Times New Roman" w:ascii="Times New Roman" w:hAnsi="Times New Roman"/>
          <w:color w:themeColor="text1" w:val="000000"/>
          <w:sz w:val="24"/>
          <w:szCs w:val="24"/>
        </w:rPr>
        <w:t xml:space="preserve"> Требовать от Исполнителя передачи результата незавершенных монтажных работ с компенсацией Исполнителем произведенных затрат в случае прекращения настоящего Договора по основаниям, предусмотренным настоящим Договором и/или действующим законодательством Российской Федерации.  </w:t>
      </w:r>
    </w:p>
    <w:p>
      <w:pPr>
        <w:pStyle w:val="ListParagraph"/>
        <w:numPr>
          <w:ilvl w:val="1"/>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u w:val="single"/>
        </w:rPr>
      </w:pPr>
      <w:r>
        <w:rPr>
          <w:rFonts w:cs="Times New Roman" w:ascii="Times New Roman" w:hAnsi="Times New Roman"/>
          <w:vanish/>
          <w:color w:themeColor="text1" w:val="000000"/>
          <w:sz w:val="24"/>
          <w:szCs w:val="24"/>
        </w:rPr>
        <w:t xml:space="preserve"> </w:t>
      </w:r>
      <w:r>
        <w:rPr>
          <w:rFonts w:cs="Times New Roman" w:ascii="Times New Roman" w:hAnsi="Times New Roman"/>
          <w:vanish/>
          <w:color w:themeColor="text1" w:val="000000"/>
          <w:sz w:val="24"/>
          <w:szCs w:val="24"/>
        </w:rPr>
        <w:t xml:space="preserve">Поставщик обязан </w:t>
      </w: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u w:val="single"/>
        </w:rPr>
        <w:t xml:space="preserve">Исполнитель обязан: </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u w:val="single"/>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 xml:space="preserve">Осуществить изготовление и поставку дверей, а также их монтаж, в соответствии с условиями настоящего Договора, требованиями Проектной документации «Агропромышленный парк «Черногорский», действующими нормами и правилами, техническими условиями, регламентами. При выполнении монтажных работ соблюдать требования нормативных правовых актов об охране труда и технике безопасности, охране окружающей среды; </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u w:val="single"/>
        </w:rPr>
      </w:pPr>
      <w:r>
        <w:rPr>
          <w:rFonts w:cs="Times New Roman" w:ascii="Times New Roman" w:hAnsi="Times New Roman"/>
          <w:sz w:val="24"/>
          <w:szCs w:val="24"/>
        </w:rPr>
        <w:t xml:space="preserve">Обеспечить наличие соответствующих сертификатов, технических паспортов и других документов, удостоверяющих качество дверей, на все используемые при выполнении обязательств материалы, изделия, конструкции. Копии сертификатов представить Заказчику </w:t>
      </w:r>
      <w:r>
        <w:rPr>
          <w:rFonts w:cs="Times New Roman" w:ascii="Times New Roman" w:hAnsi="Times New Roman"/>
          <w:color w:themeColor="text1" w:val="000000"/>
          <w:sz w:val="24"/>
          <w:szCs w:val="24"/>
        </w:rPr>
        <w:t>при доставке дверей на Объект для проведения входного контроля до начала производства монтажных работ</w:t>
      </w:r>
      <w:r>
        <w:rPr>
          <w:rFonts w:cs="Times New Roman" w:ascii="Times New Roman" w:hAnsi="Times New Roman"/>
          <w:sz w:val="24"/>
          <w:szCs w:val="24"/>
        </w:rPr>
        <w:t>, выполняемых с использованием указанных материалов, изделий и конструкций;</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u w:val="single"/>
        </w:rPr>
      </w:pPr>
      <w:r>
        <w:rPr>
          <w:rFonts w:cs="Times New Roman" w:ascii="Times New Roman" w:hAnsi="Times New Roman"/>
          <w:color w:themeColor="text1" w:val="000000"/>
          <w:sz w:val="24"/>
          <w:szCs w:val="24"/>
        </w:rPr>
        <w:t>Выполнить обязательства по настоящему Договору в сроки, указанные в нем;</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u w:val="single"/>
        </w:rPr>
      </w:pPr>
      <w:r>
        <w:rPr>
          <w:rFonts w:cs="Times New Roman" w:ascii="Times New Roman" w:hAnsi="Times New Roman"/>
          <w:color w:themeColor="text1" w:val="000000"/>
          <w:sz w:val="24"/>
          <w:szCs w:val="24"/>
        </w:rPr>
        <w:t xml:space="preserve">Исполнять, полученные в ходе выполнения обязательств, указания Заказчика, Технического заказчика, устранять нарушения, обозначенные лицом, осуществляющим строительный контроль, если такие указания не противоречат условиям настоящего Договора и не представляют собой вмешательство в хозяйственную деятельность Исполнителя.    </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u w:val="single"/>
        </w:rPr>
      </w:pPr>
      <w:r>
        <w:rPr>
          <w:rFonts w:cs="Times New Roman" w:ascii="Times New Roman" w:hAnsi="Times New Roman"/>
          <w:vanish/>
          <w:color w:themeColor="text1" w:val="000000"/>
          <w:sz w:val="24"/>
          <w:szCs w:val="24"/>
        </w:rPr>
        <w:t>4.3.</w:t>
      </w:r>
      <w:r>
        <w:rPr>
          <w:rFonts w:cs="Times New Roman" w:ascii="Times New Roman" w:hAnsi="Times New Roman"/>
          <w:color w:themeColor="text1" w:val="000000"/>
          <w:sz w:val="24"/>
          <w:szCs w:val="24"/>
        </w:rPr>
        <w:t xml:space="preserve"> Передать Заказчику двери, свободные от любых требований третьих лиц, не заложенные, не арестованные;</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u w:val="single"/>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Обеспечить соответствие изготавливаемых и поставляемых дверей требованиям качества, безопасности в соответствии с законодательством Российской Федерации;</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Предоставить по требованию Заказчика/Технического заказчика информацию и документы, относящиеся к предмету настоящего Договора, для проверки исполнения Поставщиком обязательств на Договору;</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 xml:space="preserve">Незамедлительно информировать Заказчика/Технического заказчика обо всех обстоятельствах, препятствующих исполнению Договора. </w:t>
      </w:r>
    </w:p>
    <w:p>
      <w:pPr>
        <w:pStyle w:val="ListParagraph"/>
        <w:numPr>
          <w:ilvl w:val="2"/>
          <w:numId w:val="10"/>
        </w:numPr>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Своими силами и за свой счет устранять допущенные, в ходе исполнения настоящего Договора, недостатки;</w:t>
      </w:r>
    </w:p>
    <w:p>
      <w:pPr>
        <w:pStyle w:val="ListParagraph"/>
        <w:numPr>
          <w:ilvl w:val="2"/>
          <w:numId w:val="10"/>
        </w:numPr>
        <w:tabs>
          <w:tab w:val="clear" w:pos="708"/>
          <w:tab w:val="left" w:pos="426" w:leader="none"/>
          <w:tab w:val="left" w:pos="1418" w:leader="none"/>
          <w:tab w:val="left" w:pos="1560"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Обеспечить исполнение гарантийных обязательств, предусмотренных настоящим Договором;</w:t>
      </w:r>
    </w:p>
    <w:p>
      <w:pPr>
        <w:pStyle w:val="ListParagraph"/>
        <w:numPr>
          <w:ilvl w:val="2"/>
          <w:numId w:val="10"/>
        </w:numPr>
        <w:tabs>
          <w:tab w:val="clear" w:pos="708"/>
          <w:tab w:val="left" w:pos="426" w:leader="none"/>
          <w:tab w:val="left" w:pos="1418" w:leader="none"/>
          <w:tab w:val="left" w:pos="1560"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После получения извещения от Заказчика о готовности Объекта для монтажа дверей, выехать в течение 3 (трех) рабочих дней</w:t>
      </w:r>
      <w:r>
        <w:rPr>
          <w:rFonts w:cs="Times New Roman" w:ascii="Times New Roman" w:hAnsi="Times New Roman"/>
          <w:color w:val="FF0000"/>
          <w:sz w:val="24"/>
          <w:szCs w:val="24"/>
        </w:rPr>
        <w:t xml:space="preserve"> </w:t>
      </w:r>
      <w:r>
        <w:rPr>
          <w:rFonts w:cs="Times New Roman" w:ascii="Times New Roman" w:hAnsi="Times New Roman"/>
          <w:color w:themeColor="text1" w:val="000000"/>
          <w:sz w:val="24"/>
          <w:szCs w:val="24"/>
        </w:rPr>
        <w:t xml:space="preserve">к месту нахождения Объекта для подписания Акта строительной готовности здания к производству монтажных работ по форме Приложения № 5 к настоящему Договору;           </w:t>
      </w:r>
    </w:p>
    <w:p>
      <w:pPr>
        <w:pStyle w:val="ListParagraph"/>
        <w:numPr>
          <w:ilvl w:val="2"/>
          <w:numId w:val="10"/>
        </w:numPr>
        <w:tabs>
          <w:tab w:val="clear" w:pos="708"/>
          <w:tab w:val="left" w:pos="426" w:leader="none"/>
          <w:tab w:val="left" w:pos="1418" w:leader="none"/>
          <w:tab w:val="left" w:pos="1560"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Приступить к производству монтажных работ в течение 7 (семи) рабочих дней с момента подписания Акта строительной готовности здания к производству монтажных работ при условии прохождения входного контроля;  </w:t>
      </w:r>
    </w:p>
    <w:p>
      <w:pPr>
        <w:pStyle w:val="ListParagraph"/>
        <w:numPr>
          <w:ilvl w:val="2"/>
          <w:numId w:val="10"/>
        </w:numPr>
        <w:tabs>
          <w:tab w:val="clear" w:pos="708"/>
          <w:tab w:val="left" w:pos="426" w:leader="none"/>
          <w:tab w:val="left" w:pos="1418" w:leader="none"/>
          <w:tab w:val="left" w:pos="1560"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Произвести монтаж, проверку работоспособности смонтированных дверей, инструктаж (в том числе обучение правилам безопасности) специалистов Заказчика в сроки, предусмотренные настоящим Договором;      </w:t>
      </w:r>
    </w:p>
    <w:p>
      <w:pPr>
        <w:pStyle w:val="ListParagraph"/>
        <w:numPr>
          <w:ilvl w:val="2"/>
          <w:numId w:val="10"/>
        </w:numPr>
        <w:tabs>
          <w:tab w:val="clear" w:pos="708"/>
          <w:tab w:val="left" w:pos="426" w:leader="none"/>
          <w:tab w:val="left" w:pos="1418" w:leader="none"/>
          <w:tab w:val="left" w:pos="1560"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Использовать квалифицированный персонал для изготовления (сборки), производства монтажных работ, проверки работоспособности дверей и инструктажа специалистов Заказчика; </w:t>
      </w:r>
    </w:p>
    <w:p>
      <w:pPr>
        <w:pStyle w:val="ListParagraph"/>
        <w:numPr>
          <w:ilvl w:val="2"/>
          <w:numId w:val="10"/>
        </w:numPr>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Осуществить заполнение зазоров противопожарной пеной или аналогичными материалами (в соответствии с ГОСТ Р 57327-2016);</w:t>
      </w:r>
    </w:p>
    <w:p>
      <w:pPr>
        <w:pStyle w:val="ListParagraph"/>
        <w:numPr>
          <w:ilvl w:val="2"/>
          <w:numId w:val="10"/>
        </w:numPr>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4"/>
          <w:szCs w:val="24"/>
        </w:rPr>
        <w:t xml:space="preserve">Представить Заказчику оформленные надлежащим образом документы, предусмотренные настоящим Договором (Техническим заданием к нему). </w:t>
      </w:r>
    </w:p>
    <w:p>
      <w:pPr>
        <w:pStyle w:val="ListParagraph"/>
        <w:numPr>
          <w:ilvl w:val="2"/>
          <w:numId w:val="10"/>
        </w:numPr>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4"/>
          <w:szCs w:val="24"/>
        </w:rPr>
        <w:t>В рамках исполнения обязательств, предусмотренных настоящим Договором, осуществлять взаимодействие с Техническим заказчиком.</w:t>
      </w:r>
    </w:p>
    <w:p>
      <w:pPr>
        <w:pStyle w:val="ListParagraph"/>
        <w:numPr>
          <w:ilvl w:val="2"/>
          <w:numId w:val="10"/>
        </w:numPr>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4"/>
          <w:szCs w:val="24"/>
        </w:rPr>
        <w:t xml:space="preserve">После производства монтажных работ произвести уборку строительного и бытового мусора, образовавшегося при исполнении обязательств по настоящему Договору; </w:t>
      </w:r>
    </w:p>
    <w:p>
      <w:pPr>
        <w:pStyle w:val="ListParagraph"/>
        <w:numPr>
          <w:ilvl w:val="1"/>
          <w:numId w:val="10"/>
        </w:numPr>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4"/>
          <w:szCs w:val="24"/>
        </w:rPr>
        <w:t xml:space="preserve">Заключая настоящий Договор Исполнитель дает свое согласие на осуществление в отношении него контрольных мероприятий в форме проверок в соответствии со статьями 268.1 и 269.2 Бюджетного кодекса Российской Федерации Министерством экономического развития Республики Хакасия, а также органами государственного финансового контроля.   </w:t>
      </w:r>
    </w:p>
    <w:p>
      <w:pPr>
        <w:pStyle w:val="ListParagraph"/>
        <w:numPr>
          <w:ilvl w:val="1"/>
          <w:numId w:val="10"/>
        </w:numPr>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8"/>
          <w:szCs w:val="28"/>
          <w:u w:val="single"/>
        </w:rPr>
      </w:pPr>
      <w:r>
        <w:rPr>
          <w:rFonts w:cs="Times New Roman" w:ascii="Times New Roman" w:hAnsi="Times New Roman"/>
          <w:color w:themeColor="text1" w:val="000000"/>
          <w:sz w:val="24"/>
          <w:szCs w:val="24"/>
          <w:u w:val="single"/>
        </w:rPr>
        <w:t xml:space="preserve">Исполнитель вправе:  </w:t>
      </w:r>
    </w:p>
    <w:p>
      <w:pPr>
        <w:pStyle w:val="ListParagraph"/>
        <w:numPr>
          <w:ilvl w:val="2"/>
          <w:numId w:val="10"/>
        </w:numPr>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4"/>
          <w:szCs w:val="24"/>
        </w:rPr>
        <w:t>Требовать от Заказчика предоставления имеющейся у него информации, необходимой для исполнения обязательств по настоящему Договору;</w:t>
      </w:r>
    </w:p>
    <w:p>
      <w:pPr>
        <w:pStyle w:val="ListParagraph"/>
        <w:numPr>
          <w:ilvl w:val="2"/>
          <w:numId w:val="10"/>
        </w:numPr>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4"/>
          <w:szCs w:val="24"/>
        </w:rPr>
        <w:t>Требовать от Заказчика своевременной оплаты, в порядке и на условиях, предусмотренных настоящим Договором;</w:t>
      </w:r>
    </w:p>
    <w:p>
      <w:pPr>
        <w:pStyle w:val="ListParagraph"/>
        <w:numPr>
          <w:ilvl w:val="2"/>
          <w:numId w:val="10"/>
        </w:numPr>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4"/>
          <w:szCs w:val="24"/>
        </w:rPr>
        <w:t xml:space="preserve">При необходимости привлекать, для исполнения обязательств по настоящему Договору, третьих лиц (соисполнителей), соответствующих требованиям действующего законодательства Российской Федерации. </w:t>
      </w:r>
    </w:p>
    <w:p>
      <w:pPr>
        <w:pStyle w:val="ListParagraph"/>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 привлечении к исполнению обязательств по настоящему Договору третьих лиц, всю ответственность за их действия (бездействия) перед Заказчиком несет Исполнитель.</w:t>
      </w:r>
    </w:p>
    <w:p>
      <w:pPr>
        <w:pStyle w:val="ListParagraph"/>
        <w:tabs>
          <w:tab w:val="clear" w:pos="708"/>
          <w:tab w:val="left" w:pos="426" w:leader="none"/>
          <w:tab w:val="left" w:pos="1418" w:leader="none"/>
          <w:tab w:val="left" w:pos="1701"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0"/>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УПАКОВКА, МАРКИРОВКА И ХРАНЕНИЕ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Поставщик должен обеспечить упаковку дверей, способную предотвратить их повреждение или порчу во время хранения, перевозки до Объекта, во время нахождения на Объекте до монтажа.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Вся упаковка должна соответствовать требованиям действующих нормативных актов Российской Федерации, на упаковках должна содержаться информация на русском языке.</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Маркировки дверей должны содержать следующую информацию:</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наименование и (или) условное обозначение;</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обозначение нормативного документа, в соответствии с которым производились (изготавливались) двери (ТУ);</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дата изготовления (месяц, год);</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опознавательный знак (товарный знак) предприятия-изготовителя;</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юридический адрес изготовителя.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strike/>
          <w:color w:themeColor="text1" w:val="000000"/>
          <w:sz w:val="24"/>
          <w:szCs w:val="24"/>
          <w:highlight w:val="red"/>
        </w:rPr>
      </w:pPr>
      <w:r>
        <w:rPr>
          <w:rFonts w:cs="Times New Roman" w:ascii="Times New Roman" w:hAnsi="Times New Roman"/>
          <w:color w:themeColor="text1" w:val="000000"/>
          <w:sz w:val="24"/>
          <w:szCs w:val="24"/>
        </w:rPr>
        <w:t xml:space="preserve">5.4.  Вся упаковка должна соответствовать требованиям законодательства Российской Федерации, </w:t>
      </w:r>
      <w:r>
        <w:rPr>
          <w:rFonts w:cs="Times New Roman" w:ascii="Times New Roman" w:hAnsi="Times New Roman"/>
          <w:color w:themeColor="text1" w:val="000000"/>
          <w:sz w:val="24"/>
          <w:szCs w:val="24"/>
          <w:shd w:fill="FFFFFF" w:val="clear"/>
        </w:rPr>
        <w:t>иметь следующую маркировку:</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shd w:fill="FFFFFF" w:val="clear"/>
        </w:rPr>
      </w:pPr>
      <w:r>
        <w:rPr>
          <w:rFonts w:cs="Times New Roman" w:ascii="Times New Roman" w:hAnsi="Times New Roman"/>
          <w:color w:themeColor="text1" w:val="000000"/>
          <w:sz w:val="24"/>
          <w:szCs w:val="24"/>
          <w:shd w:fill="FFFFFF" w:val="clear"/>
        </w:rPr>
        <w:t>- наименование дверей;</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shd w:fill="FFFFFF" w:val="clear"/>
        </w:rPr>
      </w:pPr>
      <w:r>
        <w:rPr>
          <w:rFonts w:cs="Times New Roman" w:ascii="Times New Roman" w:hAnsi="Times New Roman"/>
          <w:color w:themeColor="text1" w:val="000000"/>
          <w:sz w:val="24"/>
          <w:szCs w:val="24"/>
          <w:shd w:fill="FFFFFF" w:val="clear"/>
        </w:rPr>
        <w:t>- номер договора;</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shd w:fill="FFFFFF" w:val="clear"/>
        </w:rPr>
      </w:pPr>
      <w:r>
        <w:rPr>
          <w:rFonts w:cs="Times New Roman" w:ascii="Times New Roman" w:hAnsi="Times New Roman"/>
          <w:color w:themeColor="text1" w:val="000000"/>
          <w:sz w:val="24"/>
          <w:szCs w:val="24"/>
          <w:shd w:fill="FFFFFF" w:val="clear"/>
        </w:rPr>
        <w:t>- наименование изготовителя;</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shd w:fill="FFFFFF" w:val="clear"/>
        </w:rPr>
      </w:pPr>
      <w:r>
        <w:rPr>
          <w:rFonts w:cs="Times New Roman" w:ascii="Times New Roman" w:hAnsi="Times New Roman"/>
          <w:color w:themeColor="text1" w:val="000000"/>
          <w:sz w:val="24"/>
          <w:szCs w:val="24"/>
          <w:shd w:fill="FFFFFF" w:val="clear"/>
        </w:rPr>
        <w:t>- наименование Исполнителя;</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shd w:fill="FFFFFF" w:val="clear"/>
        </w:rPr>
      </w:pPr>
      <w:r>
        <w:rPr>
          <w:rFonts w:cs="Times New Roman" w:ascii="Times New Roman" w:hAnsi="Times New Roman"/>
          <w:color w:themeColor="text1" w:val="000000"/>
          <w:sz w:val="24"/>
          <w:szCs w:val="24"/>
          <w:shd w:fill="FFFFFF" w:val="clear"/>
        </w:rPr>
        <w:t>- наименование Заказчика;</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shd w:fill="FFFFFF" w:val="clear"/>
        </w:rPr>
      </w:pPr>
      <w:r>
        <w:rPr>
          <w:rFonts w:cs="Times New Roman" w:ascii="Times New Roman" w:hAnsi="Times New Roman"/>
          <w:color w:themeColor="text1" w:val="000000"/>
          <w:sz w:val="24"/>
          <w:szCs w:val="24"/>
          <w:shd w:fill="FFFFFF" w:val="clear"/>
        </w:rPr>
        <w:t>- место поставки дверей (пункт назначения);</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shd w:fill="FFFFFF" w:val="clear"/>
        </w:rPr>
      </w:pPr>
      <w:r>
        <w:rPr>
          <w:rFonts w:cs="Times New Roman" w:ascii="Times New Roman" w:hAnsi="Times New Roman"/>
          <w:color w:themeColor="text1" w:val="000000"/>
          <w:sz w:val="24"/>
          <w:szCs w:val="24"/>
          <w:shd w:fill="FFFFFF" w:val="clear"/>
        </w:rPr>
        <w:t xml:space="preserve">- наименование грузоотправителя.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5.5. С момента изготовления дверей до момента доставки на Объект, хранение дверей осуществляется на складе Исполнителя.</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5.6. В период хранения дверей риск случайной гибели (повреждения) дверей лежит на Исполнителе.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p>
    <w:p>
      <w:pPr>
        <w:pStyle w:val="ListParagraph"/>
        <w:numPr>
          <w:ilvl w:val="0"/>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ПОРЯДОК ПОСТАВКИ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Поставка дверей осуществляется Исполнителем по адресу: Республика Хакасия, г. Черногорск, </w:t>
      </w:r>
      <w:r>
        <w:rPr>
          <w:rFonts w:cs="Times New Roman" w:ascii="Times New Roman" w:hAnsi="Times New Roman"/>
          <w:sz w:val="24"/>
          <w:szCs w:val="24"/>
        </w:rPr>
        <w:t>в районе комбината «Залив», промышленный парк «Черногорский», участок 13. Кадастровый номер: 19:02:010202:873 к строящемуся объекту капитального строительства «Агропромышленный парк «Черногорский».</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sz w:val="24"/>
          <w:szCs w:val="24"/>
        </w:rPr>
        <w:t xml:space="preserve">По усмотрению Исполнителя поставка дверей может быть произведена в день выезда на Объект </w:t>
      </w:r>
      <w:r>
        <w:rPr>
          <w:rFonts w:cs="Times New Roman" w:ascii="Times New Roman" w:hAnsi="Times New Roman"/>
          <w:color w:themeColor="text1" w:val="000000"/>
          <w:sz w:val="24"/>
          <w:szCs w:val="24"/>
        </w:rPr>
        <w:t xml:space="preserve">для подписания Акта строительной готовности здания к производству монтажных работ либо не позднее 5 (пяти) рабочих дней после подписания указанного Акта.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Разгрузка транспортного средства осуществляется Исполнителем.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На время производства монтажных работ, при необходимости, Заказчик должен предоставить Исполнителю помещение для хранения дверей.  </w:t>
      </w:r>
      <w:r>
        <w:rPr>
          <w:rFonts w:cs="Times New Roman" w:ascii="Times New Roman" w:hAnsi="Times New Roman"/>
          <w:color w:themeColor="text1" w:val="000000"/>
          <w:sz w:val="24"/>
          <w:szCs w:val="24"/>
          <w:shd w:fill="FFFFFF" w:val="clear"/>
        </w:rPr>
        <w:t xml:space="preserve">Ответственность за сохранность дверей несет Исполнитель.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val="FF0000"/>
          <w:sz w:val="24"/>
          <w:szCs w:val="24"/>
        </w:rPr>
      </w:pPr>
      <w:r>
        <w:rPr>
          <w:rFonts w:cs="Times New Roman" w:ascii="Times New Roman" w:hAnsi="Times New Roman"/>
          <w:color w:themeColor="text1" w:val="000000"/>
          <w:sz w:val="24"/>
          <w:szCs w:val="24"/>
        </w:rPr>
        <w:t xml:space="preserve">Монтажные работы производятся Исполнителем в срок, предусмотренный в Техническом задании. </w:t>
      </w:r>
    </w:p>
    <w:p>
      <w:pPr>
        <w:pStyle w:val="Normal"/>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ListParagraph"/>
        <w:numPr>
          <w:ilvl w:val="0"/>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ГАРАНТИИ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Исполнитель гарантирует, что двери, поставленные в соответствии с настоящим Договором, являются новыми, не бывшими в употреблении, не имеют дефектов (в том числе скрытых, которые невозможно обнаружить), соответствуют всем требованиям, установленным настоящим Договором, их качество и безопасность соответствует действующим на территории Российской Федерации стандартам, не являются предметом спора или иных договорных обязательств и свободны от прав третьих лиц.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Дефектные (не соответствующие условиям настоящего Договора) двери демонтируются и вывозятся Исполнителем в сроки, согласованные Заказчиком, силами и средствами Исполнителя.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Гарантийный срок на двери (полотно), оборудование (комплектующие), на монтажные работы составляет 3 (три) года с даты подписания Заказчиком Акта выполненных работ по форме КС-2.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В течение гарантийного срока Исполнитель безвозмездно устраняет все дефекты, за исключением:</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механических повреждений, произошедших по вине Заказчика или третьих лиц;</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повреждений, возникших вследствие нарушения правил эксплуатации, при условии проведения полного инструктажа и представлении инструкции по эксплуатации;</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форс-мажорных обстоятельств (пожар (за исключением случаев несработки противопожарных дверей), затопление, природных и техногенных катастроф и т.п.);</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самостоятельного ремонта, разборки или внесения изменений в конструкцию.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7.5. В течение гарантийного срока Исполнитель обязан за свой счет устранить выявленные недостатки дверей или оборудования (комплектующих), а также дефекты монтажных работ, если не докажет, что недостатки возникли по вине Заказчика или в результате нарушения условий эксплуатации.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7.6. Устранение дефектов (недостатков) в рамках гарантийного срока осуществляется в порядке и сроки, предусмотренные Техническим заданием (пп. №11).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7.7. Течение гарантийного срока прерывается на все время, на протяжении которого двери (Объект) не мог эксплуатироваться вследствие обнаруженных недостатков.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0"/>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ПРИЕМКА ДВЕРЕЙ И МОНТАЖНЫХ РАБОТ</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Сдача-приемка дверей, оборудования (комплектующих) к ним по качеству, количеству, комплектности и целостности и прочим параметрам, предусмотренных Техническим заданием, производится одновременно с приемкой выполненных в полном объеме монтажных работ.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Сдача-приемка производится комиссионно на Объекте капитального строительства «Агропромышленный парк «Черногорский».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Состав лиц, входящих в комиссию по приемке со стороны Заказчика, определяется руководителем Заказчика, со стороны поставщика – руководителем Исполнителя. В адрес Заказчика Исполнителем, не менее чем за 3 (три) рабочих дня до сдачи-приемки дверей и монтажных работ, направляется письмо о включении в состав комиссии представителей Поставщика с приложением копий доверенностей.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Исполнитель уведомляет Заказчика о завершении монтажных работ и готовности к их приемке.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 xml:space="preserve">В течение 2 рабочих дней, с момента получения указанного в п. 8.3. настоящего Договора уведомления, Заказчиком/Техническим заказчиком совместно с Исполнителем в согласованный срок комиссионно производится сдача-приемка дверей, оборудования (комплектующих) и монтажных работ.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В день приемки Исполнитель обязуется представить Заказчику полный комплект подписанных со своей стороны документов, предусмотренный Техническим заданием (пп. 12 Технического задания).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В течение 5 (пяти) рабочих дней с момента фактической приемки на Объекте, при условии передачи Исполнителем документов в полном объеме, Заказчик обязан направить Исполнителю подписанные Акт выполненных работ по форме КС-2</w:t>
      </w:r>
      <w:r>
        <w:rPr>
          <w:rFonts w:cs="Times New Roman" w:ascii="Times New Roman" w:hAnsi="Times New Roman"/>
          <w:color w:themeColor="text1" w:val="000000"/>
          <w:sz w:val="24"/>
          <w:szCs w:val="24"/>
          <w:shd w:fill="FFFFFF" w:val="clear"/>
        </w:rPr>
        <w:t>, справка о стоимости выполненных работ по форме КС-3, акт выполненных работ по форме УПД либо мотивированный отказ от приемки дверей, оборудования</w:t>
      </w:r>
      <w:r>
        <w:rPr>
          <w:rFonts w:cs="Times New Roman" w:ascii="Times New Roman" w:hAnsi="Times New Roman"/>
          <w:color w:themeColor="text1" w:val="000000"/>
          <w:sz w:val="24"/>
          <w:szCs w:val="24"/>
        </w:rPr>
        <w:t xml:space="preserve"> (комплектующих) и монтажных работ с указанием причин отказа, необходимых доработках и сроков устранения недостатков.</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В случае получения Исполнителем отказа от приемки, Исполнитель обязан в сроки, определенные Заказчиком, устранить замечания, по которым был получен отказ от приемки дверей, оборудования (комплектующих) и монтажных работ, и направить </w:t>
      </w:r>
      <w:r>
        <w:rPr>
          <w:rFonts w:cs="Times New Roman" w:ascii="Times New Roman" w:hAnsi="Times New Roman"/>
          <w:strike/>
          <w:color w:themeColor="text1" w:val="000000"/>
          <w:sz w:val="24"/>
          <w:szCs w:val="24"/>
        </w:rPr>
        <w:t xml:space="preserve"> </w:t>
      </w:r>
      <w:r>
        <w:rPr>
          <w:rFonts w:cs="Times New Roman" w:ascii="Times New Roman" w:hAnsi="Times New Roman"/>
          <w:color w:themeColor="text1" w:val="000000"/>
          <w:sz w:val="24"/>
          <w:szCs w:val="24"/>
          <w:shd w:fill="FFFFFF" w:val="clear"/>
        </w:rPr>
        <w:t>повторно</w:t>
      </w:r>
      <w:r>
        <w:rPr>
          <w:rFonts w:cs="Times New Roman" w:ascii="Times New Roman" w:hAnsi="Times New Roman"/>
          <w:color w:themeColor="text1" w:val="000000"/>
          <w:sz w:val="24"/>
          <w:szCs w:val="24"/>
        </w:rPr>
        <w:t xml:space="preserve"> документы, необходимые для приемки. Повторная приемка после устранения недостатков (дефектов) производится в том же порядке. </w:t>
      </w:r>
    </w:p>
    <w:p>
      <w:pPr>
        <w:pStyle w:val="ListParagraph"/>
        <w:numPr>
          <w:ilvl w:val="1"/>
          <w:numId w:val="10"/>
        </w:numPr>
        <w:tabs>
          <w:tab w:val="clear" w:pos="708"/>
          <w:tab w:val="left" w:pos="426" w:leader="none"/>
          <w:tab w:val="left" w:pos="127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 xml:space="preserve">Если уполномоченные представители Исполнителя отказываются подписать указанный Акт с замечаниями, об этом делается отметка в Акте и Акт заверяется третьим лицом по выбору Заказчика. При этом второй экземпляр Акта с замечаниями и отказом от приемки направляются Заказчиком Исполнителю по почте заказным письмом с уведомлением о вручении либо по адресу электронной почты, указанной в настоящем Договоре.  </w:t>
      </w:r>
    </w:p>
    <w:p>
      <w:pPr>
        <w:pStyle w:val="ListParagraph"/>
        <w:numPr>
          <w:ilvl w:val="1"/>
          <w:numId w:val="10"/>
        </w:numPr>
        <w:tabs>
          <w:tab w:val="clear" w:pos="708"/>
          <w:tab w:val="left" w:pos="426" w:leader="none"/>
          <w:tab w:val="left" w:pos="851" w:leader="none"/>
          <w:tab w:val="left" w:pos="127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Датой сдачи Исполнителем дверей, оборудования (комплектующих), монтажных работ и приемки их Заказчиком считается дата подписания комиссией со стороны Заказчика Акта о приемке выполненных работ (КС-2).</w:t>
      </w:r>
    </w:p>
    <w:p>
      <w:pPr>
        <w:pStyle w:val="ListParagraph"/>
        <w:numPr>
          <w:ilvl w:val="1"/>
          <w:numId w:val="10"/>
        </w:numPr>
        <w:tabs>
          <w:tab w:val="clear" w:pos="708"/>
          <w:tab w:val="left" w:pos="426" w:leader="none"/>
          <w:tab w:val="left" w:pos="851" w:leader="none"/>
          <w:tab w:val="left" w:pos="127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Риски случайной гибели или случайного повреждения дверей, оборудования (комплектующих), результата монтажных работ переходят от Исполнителя к Заказчику с момента подписания комиссией со стороны Заказчика и представителями Исполнителя Акта о приемке выполненных работ, а в случае обнаружения в ходе приемки работ недостатков - с момента устранения Исполнителем всех выявленных недостатков в соответствии с Актом.</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p>
    <w:p>
      <w:pPr>
        <w:pStyle w:val="ListParagraph"/>
        <w:numPr>
          <w:ilvl w:val="0"/>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ОТВЕТСТВЕННОСТЬ СТОРОН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w:t>
      </w:r>
    </w:p>
    <w:p>
      <w:pPr>
        <w:pStyle w:val="ListParagraph"/>
        <w:numPr>
          <w:ilvl w:val="1"/>
          <w:numId w:val="10"/>
        </w:numPr>
        <w:tabs>
          <w:tab w:val="clear" w:pos="708"/>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по изготовлению, доставке и монтажу дверей, гарантийных обязательств, по устранению дефектов (недостатков), Исполнитель обязан по требованию Заказчика уплатить штраф в размере 0,3 % от цены настоящего Договора в течение 10 (десяти) дней с момента получения требования. </w:t>
      </w:r>
    </w:p>
    <w:p>
      <w:pPr>
        <w:pStyle w:val="ListParagraph"/>
        <w:numPr>
          <w:ilvl w:val="1"/>
          <w:numId w:val="10"/>
        </w:numPr>
        <w:tabs>
          <w:tab w:val="clear" w:pos="708"/>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За каждый день просрочки исполнения обязательств по изготовлению, доставке и монтажу дверей, гарантийных обязательств, обязательств по устранению дефектов (недостатков), обязательств по сдаче-приемке дверей, оборудования (комплектующих), монтажных работ Исполнитель, обязательств по предоставлению документов, по требованию Заказчику, обязан уплатить пеню в размере 0,01% от цены настоящего Договора за каждый день просрочки исполнения обязательств. Пеня начисляется со дня, следующего после истечения срока исполнения обязательства, установленного настоящим Договором.  </w:t>
      </w:r>
    </w:p>
    <w:p>
      <w:pPr>
        <w:pStyle w:val="ListParagraph"/>
        <w:numPr>
          <w:ilvl w:val="1"/>
          <w:numId w:val="10"/>
        </w:numPr>
        <w:tabs>
          <w:tab w:val="clear" w:pos="708"/>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В случае выявления нарушений строительных норм и правил, отступлений от Проектной документации «Агропромышленный парк «Черногорский» после приемки дверей, оборудования, монтажных работ, Исполнитель несет ответственность перед Заказчиком в соответствии с действующим Законодательством Российской Федерации, а также обязан устранить допущенные нарушения своими силами и за свой счет в сроки, указанные в направленном Заказчиком требовании об устранении нарушений.   </w:t>
      </w:r>
    </w:p>
    <w:p>
      <w:pPr>
        <w:pStyle w:val="ListParagraph"/>
        <w:numPr>
          <w:ilvl w:val="1"/>
          <w:numId w:val="10"/>
        </w:numPr>
        <w:tabs>
          <w:tab w:val="clear" w:pos="708"/>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Если в ходе исполнения Исполнителем обязательств по настоящему Договору становится очевидным, что к предусмотренному Договором сроку двери не будут изготовлены (изготовлены не в полном объеме) и/или смонтированы, Исполнитель, в случае расторжения Договора в одностороннем порядке Заказчиком, обязан компенсировать  </w:t>
      </w:r>
      <w:r>
        <w:rPr>
          <w:rFonts w:cs="Times New Roman" w:ascii="Times New Roman" w:hAnsi="Times New Roman"/>
          <w:color w:themeColor="text1" w:val="000000"/>
          <w:sz w:val="24"/>
          <w:szCs w:val="24"/>
          <w:shd w:fill="FFFFFF" w:val="clear"/>
        </w:rPr>
        <w:t>Заказчику</w:t>
      </w:r>
      <w:r>
        <w:rPr>
          <w:rFonts w:cs="Times New Roman" w:ascii="Times New Roman" w:hAnsi="Times New Roman"/>
          <w:color w:themeColor="text1" w:val="000000"/>
          <w:sz w:val="24"/>
          <w:szCs w:val="24"/>
        </w:rPr>
        <w:t xml:space="preserve"> расходы (затраты) (в том числе, направленные на заключение договора с другим исполнителем, штрафы, пени, проч.), связанные с несвоевременным исполнением/неисполнением обязательств по изготовлению и/или монтажу дверей.      </w:t>
      </w:r>
    </w:p>
    <w:p>
      <w:pPr>
        <w:pStyle w:val="ListParagraph"/>
        <w:numPr>
          <w:ilvl w:val="1"/>
          <w:numId w:val="10"/>
        </w:numPr>
        <w:tabs>
          <w:tab w:val="clear" w:pos="708"/>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val="000000"/>
          <w:sz w:val="24"/>
          <w:szCs w:val="24"/>
        </w:rPr>
        <w:t> </w:t>
      </w:r>
      <w:r>
        <w:rPr>
          <w:rFonts w:cs="Times New Roman" w:ascii="Times New Roman" w:hAnsi="Times New Roman"/>
          <w:color w:val="000000"/>
          <w:sz w:val="24"/>
          <w:szCs w:val="24"/>
        </w:rPr>
        <w:t xml:space="preserve">В случае просрочки исполнения Заказчиком обязательств по оплате,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0,01% суммы, подлежащей к оплате.  </w:t>
      </w:r>
      <w:r>
        <w:rPr>
          <w:rFonts w:cs="Times New Roman" w:ascii="Times New Roman" w:hAnsi="Times New Roman"/>
          <w:color w:themeColor="text1" w:val="000000"/>
          <w:sz w:val="24"/>
          <w:szCs w:val="24"/>
        </w:rPr>
        <w:t xml:space="preserve">  </w:t>
      </w:r>
    </w:p>
    <w:p>
      <w:pPr>
        <w:pStyle w:val="ListParagraph"/>
        <w:numPr>
          <w:ilvl w:val="1"/>
          <w:numId w:val="10"/>
        </w:numPr>
        <w:tabs>
          <w:tab w:val="clear" w:pos="708"/>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Пени, штрафы уплачиваются Стороной, нарушившей обязательства, на основании письменного требования второй Стороны в течение 15 (пятнадцати) календарных дней с момента получения требования. </w:t>
      </w:r>
    </w:p>
    <w:p>
      <w:pPr>
        <w:pStyle w:val="ListParagraph"/>
        <w:numPr>
          <w:ilvl w:val="1"/>
          <w:numId w:val="10"/>
        </w:numPr>
        <w:tabs>
          <w:tab w:val="clear" w:pos="708"/>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Уплата пеней, штрафов не освобождает Стороны от выполнения обязательств.</w:t>
      </w:r>
    </w:p>
    <w:p>
      <w:pPr>
        <w:pStyle w:val="ListParagraph"/>
        <w:numPr>
          <w:ilvl w:val="1"/>
          <w:numId w:val="10"/>
        </w:numPr>
        <w:tabs>
          <w:tab w:val="clear" w:pos="708"/>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ListParagraph"/>
        <w:numPr>
          <w:ilvl w:val="1"/>
          <w:numId w:val="10"/>
        </w:numPr>
        <w:tabs>
          <w:tab w:val="clear" w:pos="708"/>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Заказчик вправе произвести перечисление денежных средств в оплату обязательств по настоящему Договору в сумме, уменьшенной на размер штрафа или пени, не уменьшая при этом цены договора.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p>
    <w:p>
      <w:pPr>
        <w:pStyle w:val="ListParagraph"/>
        <w:numPr>
          <w:ilvl w:val="0"/>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СРОК ДЕЙСТВИЯ ДОГОВОРА.</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36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ПОРЯДОК ИЗМЕНЕНИЯ И РАСТОРЖЕНИЯ ДОГОВОРА.</w:t>
      </w:r>
    </w:p>
    <w:p>
      <w:pPr>
        <w:pStyle w:val="ConsNonformat1"/>
        <w:numPr>
          <w:ilvl w:val="1"/>
          <w:numId w:val="10"/>
        </w:numPr>
        <w:shd w:val="clear" w:color="auto" w:fill="FFFFFF"/>
        <w:tabs>
          <w:tab w:val="clear" w:pos="708"/>
          <w:tab w:val="left" w:pos="567" w:leader="none"/>
          <w:tab w:val="left" w:pos="993" w:leader="none"/>
          <w:tab w:val="left" w:pos="1134" w:leader="none"/>
        </w:tabs>
        <w:ind w:firstLine="852" w:left="0"/>
        <w:jc w:val="both"/>
        <w:rPr>
          <w:rFonts w:ascii="Times New Roman" w:hAnsi="Times New Roman" w:cs="Times New Roman"/>
          <w:sz w:val="24"/>
          <w:szCs w:val="24"/>
        </w:rPr>
      </w:pPr>
      <w:r>
        <w:rPr>
          <w:rFonts w:cs="Times New Roman" w:ascii="Times New Roman" w:hAnsi="Times New Roman"/>
          <w:sz w:val="24"/>
          <w:szCs w:val="24"/>
        </w:rPr>
        <w:t xml:space="preserve">Настоящий Договор вступает в силу с момента его подписания обеими Сторонами и действует до полного исполнения ими обязательств. </w:t>
      </w:r>
    </w:p>
    <w:p>
      <w:pPr>
        <w:pStyle w:val="ConsNonformat1"/>
        <w:numPr>
          <w:ilvl w:val="1"/>
          <w:numId w:val="10"/>
        </w:numPr>
        <w:shd w:val="clear" w:color="auto" w:fill="FFFFFF"/>
        <w:tabs>
          <w:tab w:val="clear" w:pos="708"/>
          <w:tab w:val="left" w:pos="567" w:leader="none"/>
          <w:tab w:val="left" w:pos="993" w:leader="none"/>
          <w:tab w:val="left" w:pos="1134" w:leader="none"/>
        </w:tabs>
        <w:ind w:firstLine="852" w:left="0"/>
        <w:jc w:val="both"/>
        <w:rPr>
          <w:rFonts w:ascii="Times New Roman" w:hAnsi="Times New Roman" w:cs="Times New Roman"/>
          <w:sz w:val="24"/>
          <w:szCs w:val="24"/>
        </w:rPr>
      </w:pPr>
      <w:r>
        <w:rPr>
          <w:rFonts w:cs="Times New Roman" w:ascii="Times New Roman" w:hAnsi="Times New Roman"/>
          <w:sz w:val="24"/>
          <w:szCs w:val="24"/>
        </w:rPr>
        <w:t>Все изменения и дополнения к настоящему Договору оформляются дополнительными соглашениями, которые являются неотъемлемой частью Договора.</w:t>
      </w:r>
    </w:p>
    <w:p>
      <w:pPr>
        <w:pStyle w:val="ConsNonformat1"/>
        <w:numPr>
          <w:ilvl w:val="1"/>
          <w:numId w:val="10"/>
        </w:numPr>
        <w:shd w:val="clear" w:color="auto" w:fill="FFFFFF"/>
        <w:tabs>
          <w:tab w:val="clear" w:pos="708"/>
          <w:tab w:val="left" w:pos="567" w:leader="none"/>
          <w:tab w:val="left" w:pos="993" w:leader="none"/>
          <w:tab w:val="left" w:pos="1134" w:leader="none"/>
        </w:tabs>
        <w:ind w:firstLine="852" w:left="0"/>
        <w:jc w:val="both"/>
        <w:rPr>
          <w:rFonts w:ascii="Times New Roman" w:hAnsi="Times New Roman" w:cs="Times New Roman"/>
          <w:sz w:val="24"/>
          <w:szCs w:val="24"/>
        </w:rPr>
      </w:pPr>
      <w:r>
        <w:rPr>
          <w:rFonts w:cs="Times New Roman" w:ascii="Times New Roman" w:hAnsi="Times New Roman"/>
          <w:sz w:val="24"/>
          <w:szCs w:val="24"/>
        </w:rPr>
        <w:t>Расторжение Договора допускается по соглашению Сторон, по решению суда, в случае одностороннего отказа любой Стороны от исполнения Договора в соответствии условиями, предусмотренными настоящим Договором или действующим законодательством Российской Федерации.</w:t>
      </w:r>
    </w:p>
    <w:p>
      <w:pPr>
        <w:pStyle w:val="ConsNonformat1"/>
        <w:numPr>
          <w:ilvl w:val="1"/>
          <w:numId w:val="10"/>
        </w:numPr>
        <w:shd w:val="clear" w:color="auto" w:fill="FFFFFF"/>
        <w:tabs>
          <w:tab w:val="clear" w:pos="708"/>
          <w:tab w:val="left" w:pos="284" w:leader="none"/>
          <w:tab w:val="left" w:pos="426" w:leader="none"/>
          <w:tab w:val="left" w:pos="993" w:leader="none"/>
          <w:tab w:val="left" w:pos="1134" w:leader="none"/>
        </w:tabs>
        <w:ind w:firstLine="852" w:left="0"/>
        <w:jc w:val="both"/>
        <w:rPr>
          <w:rFonts w:ascii="Times New Roman" w:hAnsi="Times New Roman" w:cs="Times New Roman"/>
          <w:sz w:val="24"/>
          <w:szCs w:val="24"/>
        </w:rPr>
      </w:pPr>
      <w:r>
        <w:rPr>
          <w:rFonts w:cs="Times New Roman" w:ascii="Times New Roman" w:hAnsi="Times New Roman"/>
          <w:sz w:val="24"/>
          <w:szCs w:val="24"/>
        </w:rPr>
        <w:t>Заказчик вправе принять решение об одностороннем отказе от исполнения Договора в случаях если:</w:t>
      </w:r>
    </w:p>
    <w:p>
      <w:pPr>
        <w:pStyle w:val="ConsNonformat1"/>
        <w:shd w:val="clear" w:color="auto" w:fill="FFFFFF"/>
        <w:tabs>
          <w:tab w:val="clear" w:pos="708"/>
          <w:tab w:val="left" w:pos="284" w:leader="none"/>
          <w:tab w:val="left" w:pos="426" w:leader="none"/>
          <w:tab w:val="left" w:pos="993" w:leader="none"/>
          <w:tab w:val="left" w:pos="1134" w:leader="none"/>
        </w:tabs>
        <w:ind w:firstLine="852"/>
        <w:jc w:val="both"/>
        <w:rPr>
          <w:rFonts w:ascii="Times New Roman" w:hAnsi="Times New Roman" w:cs="Times New Roman"/>
          <w:sz w:val="24"/>
          <w:szCs w:val="24"/>
        </w:rPr>
      </w:pPr>
      <w:r>
        <w:rPr>
          <w:rFonts w:cs="Times New Roman" w:ascii="Times New Roman" w:hAnsi="Times New Roman"/>
          <w:sz w:val="24"/>
          <w:szCs w:val="24"/>
        </w:rPr>
        <w:t xml:space="preserve">- Исполнитель не изготовил в полном объеме (количестве) двери в срок, установленный настоящим Договором или осуществляет изготовление дверей и монтажные работы настолько медленно, </w:t>
      </w:r>
      <w:r>
        <w:rPr>
          <w:rFonts w:cs="Times New Roman" w:ascii="Times New Roman" w:hAnsi="Times New Roman"/>
          <w:color w:val="333333"/>
          <w:sz w:val="24"/>
          <w:szCs w:val="24"/>
          <w:shd w:fill="FFFFFF" w:val="clear"/>
        </w:rPr>
        <w:t>что окончание к сроку становится </w:t>
      </w:r>
      <w:r>
        <w:rPr>
          <w:rStyle w:val="Strong"/>
          <w:rFonts w:cs="Times New Roman" w:ascii="Times New Roman" w:hAnsi="Times New Roman"/>
          <w:b w:val="false"/>
          <w:color w:val="333333"/>
          <w:sz w:val="24"/>
          <w:szCs w:val="24"/>
          <w:shd w:fill="FFFFFF" w:val="clear"/>
        </w:rPr>
        <w:t xml:space="preserve">явно невозможным; </w:t>
      </w:r>
    </w:p>
    <w:p>
      <w:pPr>
        <w:pStyle w:val="Normal"/>
        <w:numPr>
          <w:ilvl w:val="0"/>
          <w:numId w:val="9"/>
        </w:numPr>
        <w:tabs>
          <w:tab w:val="clear" w:pos="708"/>
          <w:tab w:val="left" w:pos="851" w:leader="none"/>
          <w:tab w:val="left" w:pos="993" w:leader="none"/>
        </w:tabs>
        <w:spacing w:lineRule="auto" w:line="240" w:before="0" w:after="0"/>
        <w:ind w:firstLine="852" w:left="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Исполнитель в течение срока, предусмотренного настоящим Договором, после подписания Сторонами </w:t>
      </w:r>
      <w:r>
        <w:rPr>
          <w:rFonts w:cs="Times New Roman" w:ascii="Times New Roman" w:hAnsi="Times New Roman"/>
          <w:color w:themeColor="text1" w:val="000000"/>
          <w:sz w:val="24"/>
          <w:szCs w:val="24"/>
        </w:rPr>
        <w:t xml:space="preserve">Акта строительной готовности здания к производству монтажных работ </w:t>
      </w:r>
      <w:r>
        <w:rPr>
          <w:rFonts w:cs="Times New Roman" w:ascii="Times New Roman" w:hAnsi="Times New Roman"/>
          <w:sz w:val="24"/>
          <w:szCs w:val="24"/>
        </w:rPr>
        <w:t>не приступил к их выполнению;</w:t>
      </w:r>
    </w:p>
    <w:p>
      <w:pPr>
        <w:pStyle w:val="Normal"/>
        <w:numPr>
          <w:ilvl w:val="0"/>
          <w:numId w:val="9"/>
        </w:numPr>
        <w:tabs>
          <w:tab w:val="clear" w:pos="708"/>
          <w:tab w:val="left" w:pos="851" w:leader="none"/>
          <w:tab w:val="left" w:pos="993" w:leader="none"/>
        </w:tabs>
        <w:spacing w:lineRule="auto" w:line="240" w:before="0" w:after="0"/>
        <w:ind w:firstLine="852" w:left="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Исполнитель неоднократно (более 3 раз) нарушил </w:t>
      </w:r>
      <w:r>
        <w:rPr>
          <w:rFonts w:cs="Times New Roman" w:ascii="Times New Roman" w:hAnsi="Times New Roman"/>
          <w:bCs/>
          <w:spacing w:val="-3"/>
          <w:sz w:val="24"/>
          <w:szCs w:val="24"/>
        </w:rPr>
        <w:t>условия настоящего контракта</w:t>
      </w:r>
      <w:r>
        <w:rPr>
          <w:rFonts w:cs="Times New Roman" w:ascii="Times New Roman" w:hAnsi="Times New Roman"/>
          <w:sz w:val="24"/>
          <w:szCs w:val="24"/>
        </w:rPr>
        <w:t>;</w:t>
      </w:r>
    </w:p>
    <w:p>
      <w:pPr>
        <w:pStyle w:val="Normal"/>
        <w:numPr>
          <w:ilvl w:val="0"/>
          <w:numId w:val="9"/>
        </w:numPr>
        <w:tabs>
          <w:tab w:val="clear" w:pos="708"/>
          <w:tab w:val="left" w:pos="851" w:leader="none"/>
          <w:tab w:val="left" w:pos="993" w:leader="none"/>
        </w:tabs>
        <w:spacing w:lineRule="auto" w:line="240" w:before="0" w:after="0"/>
        <w:ind w:firstLine="852" w:left="0"/>
        <w:jc w:val="both"/>
        <w:rPr>
          <w:rFonts w:ascii="Times New Roman" w:hAnsi="Times New Roman" w:cs="Times New Roman"/>
          <w:sz w:val="24"/>
          <w:szCs w:val="24"/>
        </w:rPr>
      </w:pPr>
      <w:r>
        <w:rPr>
          <w:rFonts w:cs="Times New Roman" w:ascii="Times New Roman" w:hAnsi="Times New Roman"/>
          <w:bCs/>
          <w:spacing w:val="-3"/>
          <w:sz w:val="24"/>
          <w:szCs w:val="24"/>
        </w:rPr>
        <w:t xml:space="preserve"> </w:t>
      </w:r>
      <w:r>
        <w:rPr>
          <w:rFonts w:cs="Times New Roman" w:ascii="Times New Roman" w:hAnsi="Times New Roman"/>
          <w:bCs/>
          <w:spacing w:val="-3"/>
          <w:sz w:val="24"/>
          <w:szCs w:val="24"/>
        </w:rPr>
        <w:t xml:space="preserve">Исполнитель не устранил выявленные Заказчиком/Техническим заказчиком нарушения </w:t>
      </w:r>
      <w:r>
        <w:rPr>
          <w:rFonts w:cs="Times New Roman" w:ascii="Times New Roman" w:hAnsi="Times New Roman"/>
          <w:sz w:val="24"/>
          <w:szCs w:val="24"/>
        </w:rPr>
        <w:t>условий договора</w:t>
      </w:r>
      <w:r>
        <w:rPr>
          <w:rFonts w:cs="Times New Roman" w:ascii="Times New Roman" w:hAnsi="Times New Roman"/>
          <w:bCs/>
          <w:spacing w:val="-3"/>
          <w:sz w:val="24"/>
          <w:szCs w:val="24"/>
        </w:rPr>
        <w:t xml:space="preserve"> в ходе исполнения договора.</w:t>
      </w:r>
    </w:p>
    <w:p>
      <w:pPr>
        <w:pStyle w:val="ListParagraph"/>
        <w:numPr>
          <w:ilvl w:val="1"/>
          <w:numId w:val="10"/>
        </w:numPr>
        <w:ind w:firstLine="852" w:lef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Решение Заказчика об одностороннем отказе от исполнения Договора вступает в силу и настоящий Договор считается расторгнутым через 5 (пять) календарных дней с даты уведомления Заказчиком Исполнителя об одностороннем отказе от </w:t>
      </w:r>
      <w:r>
        <w:rPr>
          <w:rFonts w:cs="Times New Roman" w:ascii="Times New Roman" w:hAnsi="Times New Roman"/>
          <w:color w:themeColor="text1" w:val="000000"/>
          <w:sz w:val="24"/>
          <w:szCs w:val="24"/>
          <w:shd w:fill="FFFFFF" w:val="clear"/>
        </w:rPr>
        <w:t>исполнения настоящего Договора.</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2" w:left="0"/>
        <w:contextualSpacing/>
        <w:jc w:val="both"/>
        <w:rPr>
          <w:rFonts w:ascii="Times New Roman" w:hAnsi="Times New Roman"/>
          <w:shd w:fill="FFFFFF" w:val="clear"/>
        </w:rPr>
      </w:pPr>
      <w:r>
        <w:rPr>
          <w:rFonts w:cs="Times New Roman" w:ascii="Times New Roman" w:hAnsi="Times New Roman"/>
          <w:sz w:val="24"/>
          <w:szCs w:val="24"/>
          <w:shd w:fill="FFFFFF" w:val="clear"/>
        </w:rPr>
        <w:t xml:space="preserve">При расторжении настоящего Договора в связи с односторонним отказом Заказчика от исполнения, Исполнитель обязан в течение 3 (трех) рабочих дней после получения или направления уведомления о расторжении передать Заказчику изготовленные двери (путем доставки на объект), выполненные монтажные работы, а также произвести возврат денежных средства, перечисленных Заказчиком в качестве предоплаты/промежуточной оплаты, в части, превышающей стоимость фактически выполненных обязательств (изготовленных дверей, произведенных монтажных работ).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0"/>
        <w:contextualSpacing/>
        <w:jc w:val="both"/>
        <w:rPr>
          <w:rFonts w:ascii="Times New Roman" w:hAnsi="Times New Roman"/>
        </w:rPr>
      </w:pPr>
      <w:r>
        <w:rPr>
          <w:rFonts w:ascii="Times New Roman" w:hAnsi="Times New Roman"/>
        </w:rPr>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2"/>
        <w:contextualSpacing/>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contextualSpacing/>
        <w:jc w:val="center"/>
        <w:rPr>
          <w:rFonts w:ascii="Times New Roman" w:hAnsi="Times New Roman" w:cs="Times New Roman"/>
          <w:color w:themeColor="text1" w:val="000000"/>
          <w:sz w:val="24"/>
          <w:szCs w:val="24"/>
        </w:rPr>
      </w:pPr>
      <w:r>
        <w:rPr>
          <w:rFonts w:cs="Times New Roman" w:ascii="Times New Roman" w:hAnsi="Times New Roman"/>
          <w:sz w:val="24"/>
          <w:szCs w:val="24"/>
        </w:rPr>
        <w:t>ПРОЧИЕ УСЛОВИЯ</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2"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Все споры и разногласия, которые могут возникнуть между Сторонами в связи с исполнением настоящего Договора, регулируются ими путем переговоров с применением претензионного порядка. При этом претензии рассматриваются, и ответы на них направляются в течение 15 (пятнадцати) календарных дней, следующих за датой их поступления (получения).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2"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Отсутствие ответа Исполнителя на претензию Заказчика в течение 15 (пятнадцати) календарных дней с момента ее получения, а также отказ от удовлетворения требований, определенных в претензии, предоставляет право Заказчику на удержание суммы претензионных требований (пеней, штрафов) за нарушение договорных обязательства из сумм, подлежащих Заказчиком оплате, что будет являться основанием для полного или частичного прекращения денежных обязательств Заказчика. </w:t>
      </w:r>
    </w:p>
    <w:p>
      <w:pPr>
        <w:pStyle w:val="ListParagraph"/>
        <w:numPr>
          <w:ilvl w:val="1"/>
          <w:numId w:val="10"/>
        </w:numPr>
        <w:shd w:val="clear" w:color="auto" w:fill="FFFFFF"/>
        <w:tabs>
          <w:tab w:val="clear" w:pos="708"/>
          <w:tab w:val="left" w:pos="426" w:leader="none"/>
          <w:tab w:val="left" w:pos="1134"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2"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При неурегулировании споров и разногласий путем переговоров с применением претензионного порядка, все споры и разногласия подлежат рассмотрению в Арбитражном суде Республики Хакасия.  </w:t>
      </w:r>
    </w:p>
    <w:p>
      <w:pPr>
        <w:pStyle w:val="ListParagraph"/>
        <w:numPr>
          <w:ilvl w:val="1"/>
          <w:numId w:val="10"/>
        </w:numPr>
        <w:shd w:val="clear" w:color="auto" w:fill="FFFFFF"/>
        <w:tabs>
          <w:tab w:val="clear" w:pos="708"/>
          <w:tab w:val="left" w:pos="426" w:leader="none"/>
          <w:tab w:val="left" w:pos="1134"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2"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Стороны обязаны в течение 3 (трех) дней сообщать друг другу об изменении своего места нахождения, почтового адреса, номеров телефонов, адреса электронной почты, банковских реквизитов, прочих реквизитов, указанных в настоящем Договоре.</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2"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shd w:fill="FFFFFF" w:val="clear"/>
        </w:rPr>
        <w:t xml:space="preserve">Документы (в том числе уведомления, претензии), предусмотренные настоящим Договором, могут быть направлены Сторонами друг другу одним из способов: посредством системы ЭДО через оператора _________________ с использованием УКЭП; посредством электронной почты на адреса: Заказчика: Uk.IKhakasii@yandex.ru, Исполнителя: _______________; посредством направления заказного письма с уведомлением о вручении на почтовые адреса, указанные в реквизитах Договора; нарочным вручением с проставлением входящего номера и даты принятия либо подписи, ФИО и даты принятия уполномоченного лица.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2"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Во всем, что не предусмотрено настоящим Договором, Стороны руководствуются действующим законодательством Российской Федерации. </w:t>
      </w:r>
    </w:p>
    <w:p>
      <w:pPr>
        <w:pStyle w:val="ListParagraph"/>
        <w:numPr>
          <w:ilvl w:val="1"/>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2"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Настоящий Договор составлен в 2 (двух) подлинных экземплярах, имеющих одинаковую юридическую силу, по одному экземпляру для каждой Стороны.    </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2"/>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0"/>
          <w:numId w:val="10"/>
        </w:numPr>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contextualSpacing/>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АДРЕСА, РЕКВИЗИТЫ И ПОДПИСИ СТОРОН</w:t>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firstLine="851" w:left="0"/>
        <w:contextualSpacing/>
        <w:jc w:val="center"/>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4672"/>
      </w:tblGrid>
      <w:tr>
        <w:trPr/>
        <w:tc>
          <w:tcPr>
            <w:tcW w:w="4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Заказчик:</w:t>
            </w:r>
          </w:p>
          <w:p>
            <w:pPr>
              <w:pStyle w:val="Normal"/>
              <w:tabs>
                <w:tab w:val="clear" w:pos="708"/>
                <w:tab w:val="left" w:pos="426" w:leader="none"/>
                <w:tab w:val="left" w:pos="851" w:leader="none"/>
              </w:tabs>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ООО «Управляющая компания</w:t>
            </w:r>
          </w:p>
          <w:p>
            <w:pPr>
              <w:pStyle w:val="Normal"/>
              <w:tabs>
                <w:tab w:val="clear" w:pos="708"/>
                <w:tab w:val="left" w:pos="426" w:leader="none"/>
                <w:tab w:val="left" w:pos="851" w:leader="none"/>
              </w:tabs>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Инфраструктура Хакасии»</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Юр. адрес: 655017, Республика Хакасия,</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г. Абакан, Крылова, 47А</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ОГРН 1241900001903</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ИНН/КПП 1900014583/190001001</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Банковские реквизиты:</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Расчетный счет № 40702810704000099954</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СИБИРСКИЙ Ф-Л ПАО «ПРОМСВЯЗЬБАНК» г. Новосибирск</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Корр. счёт № 30101810500000000816</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БИК 45004816</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val="en-US" w:eastAsia="ru-RU"/>
              </w:rPr>
              <w:t>E</w:t>
            </w:r>
            <w:r>
              <w:rPr>
                <w:rFonts w:eastAsia="Times New Roman" w:cs="Times New Roman" w:ascii="Times New Roman" w:hAnsi="Times New Roman"/>
                <w:sz w:val="23"/>
                <w:szCs w:val="23"/>
                <w:lang w:eastAsia="ru-RU"/>
              </w:rPr>
              <w:t>-</w:t>
            </w:r>
            <w:r>
              <w:rPr>
                <w:rFonts w:eastAsia="Times New Roman" w:cs="Times New Roman" w:ascii="Times New Roman" w:hAnsi="Times New Roman"/>
                <w:sz w:val="23"/>
                <w:szCs w:val="23"/>
                <w:lang w:val="en-US" w:eastAsia="ru-RU"/>
              </w:rPr>
              <w:t>mail</w:t>
            </w:r>
            <w:r>
              <w:rPr>
                <w:rFonts w:eastAsia="Times New Roman" w:cs="Times New Roman" w:ascii="Times New Roman" w:hAnsi="Times New Roman"/>
                <w:sz w:val="23"/>
                <w:szCs w:val="23"/>
                <w:lang w:eastAsia="ru-RU"/>
              </w:rPr>
              <w:t xml:space="preserve">: </w:t>
            </w:r>
            <w:hyperlink r:id="rId4">
              <w:r>
                <w:rPr>
                  <w:rStyle w:val="ListLabel102"/>
                  <w:rFonts w:eastAsia="Times New Roman" w:cs="Times New Roman" w:ascii="Times New Roman" w:hAnsi="Times New Roman"/>
                  <w:color w:val="0000FF"/>
                  <w:sz w:val="23"/>
                  <w:szCs w:val="23"/>
                  <w:u w:val="single"/>
                  <w:lang w:val="en-US" w:eastAsia="ru-RU"/>
                </w:rPr>
                <w:t>uk</w:t>
              </w:r>
              <w:r>
                <w:rPr>
                  <w:rStyle w:val="ListLabel102"/>
                  <w:rFonts w:eastAsia="Times New Roman" w:cs="Times New Roman" w:ascii="Times New Roman" w:hAnsi="Times New Roman"/>
                  <w:color w:val="0000FF"/>
                  <w:sz w:val="23"/>
                  <w:szCs w:val="23"/>
                  <w:u w:val="single"/>
                  <w:lang w:eastAsia="ru-RU"/>
                </w:rPr>
                <w:t>.</w:t>
              </w:r>
              <w:r>
                <w:rPr>
                  <w:rStyle w:val="ListLabel102"/>
                  <w:rFonts w:eastAsia="Times New Roman" w:cs="Times New Roman" w:ascii="Times New Roman" w:hAnsi="Times New Roman"/>
                  <w:color w:val="0000FF"/>
                  <w:sz w:val="23"/>
                  <w:szCs w:val="23"/>
                  <w:u w:val="single"/>
                  <w:lang w:val="en-US" w:eastAsia="ru-RU"/>
                </w:rPr>
                <w:t>ikhakasii</w:t>
              </w:r>
              <w:r>
                <w:rPr>
                  <w:rStyle w:val="ListLabel102"/>
                  <w:rFonts w:eastAsia="Times New Roman" w:cs="Times New Roman" w:ascii="Times New Roman" w:hAnsi="Times New Roman"/>
                  <w:color w:val="0000FF"/>
                  <w:sz w:val="23"/>
                  <w:szCs w:val="23"/>
                  <w:u w:val="single"/>
                  <w:lang w:eastAsia="ru-RU"/>
                </w:rPr>
                <w:t>@</w:t>
              </w:r>
              <w:r>
                <w:rPr>
                  <w:rStyle w:val="ListLabel102"/>
                  <w:rFonts w:eastAsia="Times New Roman" w:cs="Times New Roman" w:ascii="Times New Roman" w:hAnsi="Times New Roman"/>
                  <w:color w:val="0000FF"/>
                  <w:sz w:val="23"/>
                  <w:szCs w:val="23"/>
                  <w:u w:val="single"/>
                  <w:lang w:val="en-US" w:eastAsia="ru-RU"/>
                </w:rPr>
                <w:t>yandex</w:t>
              </w:r>
              <w:r>
                <w:rPr>
                  <w:rStyle w:val="ListLabel102"/>
                  <w:rFonts w:eastAsia="Times New Roman" w:cs="Times New Roman" w:ascii="Times New Roman" w:hAnsi="Times New Roman"/>
                  <w:color w:val="0000FF"/>
                  <w:sz w:val="23"/>
                  <w:szCs w:val="23"/>
                  <w:u w:val="single"/>
                  <w:lang w:eastAsia="ru-RU"/>
                </w:rPr>
                <w:t>.</w:t>
              </w:r>
              <w:r>
                <w:rPr>
                  <w:rStyle w:val="ListLabel102"/>
                  <w:rFonts w:eastAsia="Times New Roman" w:cs="Times New Roman" w:ascii="Times New Roman" w:hAnsi="Times New Roman"/>
                  <w:color w:val="0000FF"/>
                  <w:sz w:val="23"/>
                  <w:szCs w:val="23"/>
                  <w:u w:val="single"/>
                  <w:lang w:val="en-US" w:eastAsia="ru-RU"/>
                </w:rPr>
                <w:t>ru</w:t>
              </w:r>
            </w:hyperlink>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b/>
                <w:sz w:val="23"/>
                <w:szCs w:val="23"/>
                <w:lang w:eastAsia="ru-RU"/>
              </w:rPr>
              <w:t>Директор</w:t>
            </w:r>
          </w:p>
          <w:p>
            <w:pPr>
              <w:pStyle w:val="Normal"/>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ООО</w:t>
            </w: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b/>
                <w:sz w:val="23"/>
                <w:szCs w:val="23"/>
                <w:lang w:eastAsia="ru-RU"/>
              </w:rPr>
              <w:t>«Управляющая компания</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b/>
                <w:sz w:val="23"/>
                <w:szCs w:val="23"/>
                <w:lang w:eastAsia="ru-RU"/>
              </w:rPr>
              <w:t>Инфраструктура Хакасии»</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____________________ Д.А. Пауль</w:t>
            </w:r>
          </w:p>
          <w:p>
            <w:pPr>
              <w:pStyle w:val="Normal"/>
              <w:tabs>
                <w:tab w:val="clear" w:pos="708"/>
                <w:tab w:val="left" w:pos="9072" w:leader="none"/>
              </w:tabs>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«____»_______________2026 г.</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Исполнитель:</w:t>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______________</w:t>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___________________</w:t>
            </w:r>
          </w:p>
          <w:p>
            <w:pPr>
              <w:pStyle w:val="Normal"/>
              <w:tabs>
                <w:tab w:val="clear" w:pos="708"/>
                <w:tab w:val="left" w:pos="9072"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«____»_______________2026 г.</w:t>
            </w:r>
          </w:p>
        </w:tc>
      </w:tr>
    </w:tbl>
    <w:p>
      <w:pPr>
        <w:pStyle w:val="ListParagraph"/>
        <w:tabs>
          <w:tab w:val="clear" w:pos="708"/>
          <w:tab w:val="left" w:pos="426" w:leader="none"/>
          <w:tab w:val="left" w:pos="1418" w:leader="none"/>
          <w:tab w:val="left" w:pos="1701" w:leader="none"/>
          <w:tab w:val="left" w:pos="2127" w:leader="none"/>
          <w:tab w:val="left" w:pos="2410" w:leader="none"/>
          <w:tab w:val="left" w:pos="2694" w:leader="none"/>
          <w:tab w:val="left" w:pos="2835" w:leader="none"/>
        </w:tabs>
        <w:spacing w:lineRule="auto" w:line="240" w:before="0" w:after="0"/>
        <w:ind w:left="851"/>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tabs>
          <w:tab w:val="clear" w:pos="708"/>
          <w:tab w:val="left" w:pos="426" w:leader="none"/>
          <w:tab w:val="left" w:pos="1418" w:leader="none"/>
          <w:tab w:val="left" w:pos="1701" w:leader="none"/>
        </w:tabs>
        <w:spacing w:lineRule="auto" w:line="240" w:before="0" w:after="0"/>
        <w:ind w:left="851"/>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8"/>
          <w:szCs w:val="28"/>
        </w:rPr>
        <w:t xml:space="preserve">         </w:t>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ListParagraph"/>
        <w:tabs>
          <w:tab w:val="clear" w:pos="708"/>
          <w:tab w:val="left" w:pos="426" w:leader="none"/>
          <w:tab w:val="left" w:pos="1418" w:leader="none"/>
          <w:tab w:val="left" w:pos="6456" w:leader="none"/>
        </w:tabs>
        <w:spacing w:lineRule="auto" w:line="240" w:before="0" w:after="0"/>
        <w:ind w:firstLine="851" w:left="0"/>
        <w:contextualSpacing/>
        <w:jc w:val="both"/>
        <w:rPr>
          <w:rFonts w:ascii="Times New Roman" w:hAnsi="Times New Roman" w:cs="Times New Roman"/>
          <w:sz w:val="24"/>
          <w:szCs w:val="24"/>
        </w:rPr>
      </w:pPr>
      <w:r>
        <w:rPr>
          <w:rFonts w:cs="Times New Roman" w:ascii="Times New Roman" w:hAnsi="Times New Roman"/>
          <w:color w:themeColor="text1" w:val="000000"/>
          <w:sz w:val="28"/>
          <w:szCs w:val="28"/>
        </w:rPr>
        <w:t xml:space="preserve">     </w:t>
      </w:r>
    </w:p>
    <w:p>
      <w:pPr>
        <w:pStyle w:val="ListParagraph"/>
        <w:tabs>
          <w:tab w:val="clear" w:pos="708"/>
          <w:tab w:val="left" w:pos="426" w:leader="none"/>
          <w:tab w:val="left" w:pos="6456" w:leader="none"/>
        </w:tabs>
        <w:spacing w:before="0" w:after="0"/>
        <w:ind w:left="1571"/>
        <w:contextualSpacing/>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Приложение №1 к Договору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изготовление, поставку и монтаж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дверей промышленной серии  </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________ от «___»_______2026 г.</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t>ТЕХНИЧЕСКОЕ ЗАДАНИЕ</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 xml:space="preserve">на изготовление, поставку и монтаж дверей промышленной серии охлаждаемых помещений </w:t>
      </w:r>
      <w:r>
        <w:rPr>
          <w:rFonts w:cs="Times New Roman" w:ascii="Times New Roman" w:hAnsi="Times New Roman"/>
          <w:b/>
          <w:color w:themeColor="text1" w:val="000000"/>
          <w:sz w:val="24"/>
          <w:szCs w:val="24"/>
        </w:rPr>
        <w:t xml:space="preserve">строящегося </w:t>
      </w:r>
      <w:r>
        <w:rPr>
          <w:rFonts w:cs="Times New Roman" w:ascii="Times New Roman" w:hAnsi="Times New Roman"/>
          <w:b/>
          <w:sz w:val="24"/>
          <w:szCs w:val="24"/>
        </w:rPr>
        <w:t xml:space="preserve">объекта капитального строительства </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«Агропромышленный парк «Черногорский».</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bl>
      <w:tblPr>
        <w:tblStyle w:val="afb"/>
        <w:tblW w:w="9345"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83"/>
        <w:gridCol w:w="2798"/>
        <w:gridCol w:w="5964"/>
      </w:tblGrid>
      <w:tr>
        <w:trPr>
          <w:trHeight w:val="725" w:hRule="atLeast"/>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п/п</w:t>
            </w:r>
          </w:p>
        </w:tc>
        <w:tc>
          <w:tcPr>
            <w:tcW w:w="2798"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Перечень основных требований</w:t>
            </w:r>
          </w:p>
        </w:tc>
        <w:tc>
          <w:tcPr>
            <w:tcW w:w="596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Содержание требований</w:t>
            </w:r>
          </w:p>
        </w:tc>
      </w:tr>
      <w:tr>
        <w:trPr>
          <w:trHeight w:val="410" w:hRule="atLeast"/>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Основание</w:t>
            </w:r>
          </w:p>
        </w:tc>
        <w:tc>
          <w:tcPr>
            <w:tcW w:w="596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Строительство объекта капитального строительства «Агропромышленный парк «Черногорский».</w:t>
            </w:r>
          </w:p>
        </w:tc>
      </w:tr>
      <w:tr>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Предмет договора</w:t>
            </w:r>
          </w:p>
        </w:tc>
        <w:tc>
          <w:tcPr>
            <w:tcW w:w="596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color w:themeColor="text1" w:val="000000"/>
                <w:kern w:val="0"/>
                <w:sz w:val="22"/>
                <w:szCs w:val="22"/>
                <w:lang w:val="ru-RU" w:eastAsia="en-US" w:bidi="ar-SA"/>
              </w:rPr>
              <w:t>Изготовление, поставка и монтаж 21 двери в соответствии с п. 7 Технического задания.</w:t>
            </w:r>
          </w:p>
        </w:tc>
      </w:tr>
      <w:tr>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Ответственное лицо (ФИО, должность)</w:t>
            </w:r>
          </w:p>
        </w:tc>
        <w:tc>
          <w:tcPr>
            <w:tcW w:w="596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Главный инженер ООО «Управляющая компания Инфраструктура Хакасии»</w:t>
            </w:r>
          </w:p>
        </w:tc>
      </w:tr>
      <w:tr>
        <w:trPr>
          <w:trHeight w:val="394" w:hRule="atLeast"/>
        </w:trPr>
        <w:tc>
          <w:tcPr>
            <w:tcW w:w="583" w:type="dxa"/>
            <w:vMerge w:val="restart"/>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Контактный телефон</w:t>
            </w:r>
          </w:p>
        </w:tc>
        <w:tc>
          <w:tcPr>
            <w:tcW w:w="596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+7 908 220 61 00</w:t>
            </w:r>
          </w:p>
        </w:tc>
      </w:tr>
      <w:tr>
        <w:trPr>
          <w:trHeight w:val="394" w:hRule="atLeast"/>
        </w:trPr>
        <w:tc>
          <w:tcPr>
            <w:tcW w:w="583" w:type="dxa"/>
            <w:vMerge w:val="continue"/>
            <w:tcBorders/>
          </w:tcPr>
          <w:p>
            <w:pPr>
              <w:pStyle w:val="Normal"/>
              <w:widowControl/>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2798" w:type="dxa"/>
            <w:tcBorders/>
          </w:tcPr>
          <w:p>
            <w:pPr>
              <w:pStyle w:val="Normal"/>
              <w:widowControl/>
              <w:suppressAutoHyphens w:val="true"/>
              <w:spacing w:lineRule="auto" w:line="240" w:before="0" w:after="0"/>
              <w:jc w:val="left"/>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E-mail</w:t>
            </w:r>
          </w:p>
        </w:tc>
        <w:tc>
          <w:tcPr>
            <w:tcW w:w="5964" w:type="dxa"/>
            <w:tcBorders/>
          </w:tcPr>
          <w:p>
            <w:pPr>
              <w:pStyle w:val="Normal"/>
              <w:widowControl/>
              <w:suppressAutoHyphens w:val="true"/>
              <w:spacing w:lineRule="auto" w:line="240" w:before="0" w:after="0"/>
              <w:jc w:val="both"/>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uk.ikhakasii@yandex.ru</w:t>
            </w:r>
          </w:p>
        </w:tc>
      </w:tr>
      <w:tr>
        <w:trPr>
          <w:trHeight w:val="689" w:hRule="atLeast"/>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Место поставки, монтажных работ</w:t>
            </w:r>
          </w:p>
        </w:tc>
        <w:tc>
          <w:tcPr>
            <w:tcW w:w="596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Республика Хакасия, город Черногорск, в районе комбината «Залив», промышленный парк «Черногорский», участок 13. Кадастровый номер: 19:02:010202:873.</w:t>
            </w:r>
          </w:p>
        </w:tc>
      </w:tr>
      <w:tr>
        <w:trPr>
          <w:trHeight w:val="689" w:hRule="atLeast"/>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6</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Срок выполнения работ</w:t>
            </w:r>
          </w:p>
        </w:tc>
        <w:tc>
          <w:tcPr>
            <w:tcW w:w="596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color w:themeColor="text1" w:val="000000"/>
                <w:kern w:val="0"/>
                <w:sz w:val="22"/>
                <w:szCs w:val="22"/>
                <w:lang w:val="ru-RU" w:eastAsia="en-US" w:bidi="ar-SA"/>
              </w:rPr>
              <w:t>Срок изготовления дверей – не позднее 01.04.2027 г. Срок поставки и монтажа дверей – с момента строительной готовности помещени</w:t>
            </w:r>
            <w:r>
              <w:rPr>
                <w:rFonts w:eastAsia="Calibri" w:cs="Times New Roman" w:ascii="Times New Roman" w:hAnsi="Times New Roman"/>
                <w:color w:val="000000"/>
                <w:kern w:val="0"/>
                <w:sz w:val="22"/>
                <w:szCs w:val="22"/>
                <w:shd w:fill="FFFFFF" w:val="clear"/>
                <w:lang w:val="ru-RU" w:eastAsia="en-US" w:bidi="ar-SA"/>
              </w:rPr>
              <w:t>й</w:t>
            </w:r>
            <w:r>
              <w:rPr>
                <w:rFonts w:eastAsia="Calibri" w:cs="Times New Roman" w:ascii="Times New Roman" w:hAnsi="Times New Roman"/>
                <w:color w:themeColor="text1" w:val="000000"/>
                <w:kern w:val="0"/>
                <w:sz w:val="22"/>
                <w:szCs w:val="22"/>
                <w:lang w:val="ru-RU" w:eastAsia="en-US" w:bidi="ar-SA"/>
              </w:rPr>
              <w:t>, но не позднее 01.07.2027 г. (дата начала работ определяется Заказчиком с учетом строительной готовности помещений.)</w:t>
            </w:r>
          </w:p>
        </w:tc>
      </w:tr>
      <w:tr>
        <w:trPr>
          <w:trHeight w:val="1974" w:hRule="atLeast"/>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7</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Исходные данные</w:t>
            </w:r>
          </w:p>
        </w:tc>
        <w:tc>
          <w:tcPr>
            <w:tcW w:w="5964" w:type="dxa"/>
            <w:tcBorders/>
          </w:tcPr>
          <w:p>
            <w:pPr>
              <w:pStyle w:val="ListParagraph"/>
              <w:widowControl/>
              <w:numPr>
                <w:ilvl w:val="0"/>
                <w:numId w:val="7"/>
              </w:numPr>
              <w:tabs>
                <w:tab w:val="clear" w:pos="708"/>
                <w:tab w:val="left" w:pos="622"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Виды работ: - изготовление;</w:t>
            </w:r>
          </w:p>
          <w:p>
            <w:pPr>
              <w:pStyle w:val="ListParagraph"/>
              <w:widowControl/>
              <w:tabs>
                <w:tab w:val="clear" w:pos="708"/>
                <w:tab w:val="left" w:pos="622"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 поставка;</w:t>
            </w:r>
          </w:p>
          <w:p>
            <w:pPr>
              <w:pStyle w:val="Normal"/>
              <w:widowControl/>
              <w:tabs>
                <w:tab w:val="clear" w:pos="708"/>
                <w:tab w:val="left" w:pos="622" w:leader="none"/>
                <w:tab w:val="left" w:pos="1380" w:leader="none"/>
              </w:tabs>
              <w:suppressAutoHyphens w:val="true"/>
              <w:spacing w:lineRule="auto" w:line="240" w:before="0" w:after="0"/>
              <w:ind w:left="130"/>
              <w:jc w:val="both"/>
              <w:rPr>
                <w:rFonts w:ascii="Times New Roman" w:hAnsi="Times New Roman" w:cs="Times New Roman"/>
              </w:rPr>
            </w:pPr>
            <w:r>
              <w:rPr>
                <w:rFonts w:eastAsia="Calibri" w:cs="Times New Roman" w:ascii="Times New Roman" w:hAnsi="Times New Roman"/>
                <w:kern w:val="0"/>
                <w:sz w:val="22"/>
                <w:szCs w:val="22"/>
                <w:lang w:val="ru-RU" w:eastAsia="en-US" w:bidi="ar-SA"/>
              </w:rPr>
              <w:tab/>
              <w:t>- монтаж.</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Исполнение – установка в помещениях согласно прилагаемой к данному техническому заданию схеме расположения дверей охлаждаемых помещений на отм. 0,000.</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Исполнитель должен обеспечить следующие количественные и качественные требования к дверям: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ВХ1– 4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для среднетемпературной – (-5+5) камеры, двустворчатая (промышленной серии), с шириной светового проема 2500мм, высотой светового проема 2600мм, стандартной толщиной полотна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Многослойная сэндвич панель (оцинкованный лист крашеная сталь 0,6 мм. + ППУ + оцинкованный лист крашеная сталь 0,6 мм.)</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Толщина полотна S: 100мм;</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Цвет полотна: стандартный - RAL9003 (белый);</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Разрыв мостика холода – пластиковый профиль;</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Уплотнитель – резиновый профиль по периметру полотна, двухконтурный. Нижний уплотнитель повышенной износостойкости.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Рама собирается на месте эксплуатации при помощи комплектов уголков;</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Обрамление проема - профиль, с плющением по краям 10мм;</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Материал – лист крашеная сталь 0,6 мм. RAL 9003;</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уплотнительной резины:</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Комплект электронагревательных проводов;</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Мощность ПЭНов, прокладываемых в раме и между створок РДД(ОН), составляет 25Вт/м. п.;</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ПЭН для обогрева порога высокой мощности 50Вт/м. п.;</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ПЭНы прокладываются по внутренним каналам, выводятся в верхнем углу со стороны открывания;</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распаячная коробка с металлическим рукавом для прокладки внешней части ПЭНов от рамы до распаячной коробки.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Тип ручки - рычажный.</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С внешней стороны закрывается на ключ, с внутренней стороны с функцией аварийного выхода;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Изготавливается с разрывом мостика холода.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Корпус из высокопрочного пластика, внутренний механизм и рычаг из пищевой нержавеющей стали.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С внутренней стороны полотна в верхней и нижней части устанавливаются дополнительные запоры, соединенные с основной ручкой нержавеющими тягами.</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Усиленный порог, монтируется в уровень с полом из профиля 60х60х4,0мм -выдерживает проезд механизированной техники тяжелой.</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Материал порога – пищевая нержавеющая сталь AISI304.</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Дополнительные ребра жесткости по всей длине, усиливают порог, создают острую кромку контакта с бетоном, что сохраняет бетонное основание от разрушения.</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Зацепы по длине служат для жесткой фиксации порога в полу.</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Металлический кабель-канал для установки ПЭНа.</w:t>
            </w:r>
          </w:p>
          <w:p>
            <w:pPr>
              <w:pStyle w:val="ListParagraph"/>
              <w:widowControl/>
              <w:tabs>
                <w:tab w:val="clear" w:pos="708"/>
                <w:tab w:val="left" w:pos="422" w:leader="none"/>
                <w:tab w:val="left" w:pos="1380" w:leader="none"/>
              </w:tabs>
              <w:suppressAutoHyphens w:val="true"/>
              <w:spacing w:lineRule="auto" w:line="240" w:before="0" w:after="0"/>
              <w:ind w:firstLine="142" w:left="-3"/>
              <w:contextualSpacing/>
              <w:jc w:val="both"/>
              <w:rPr>
                <w:rFonts w:ascii="Times New Roman" w:hAnsi="Times New Roman" w:cs="Times New Roman"/>
              </w:rPr>
            </w:pPr>
            <w:r>
              <w:rPr>
                <w:rFonts w:cs="Times New Roman" w:ascii="Times New Roman" w:hAnsi="Times New Roman"/>
                <w:kern w:val="0"/>
                <w:sz w:val="22"/>
                <w:szCs w:val="22"/>
                <w:lang w:val="ru-RU" w:bidi="ar-SA"/>
              </w:rPr>
              <w:t>ВХ2 – 4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Маятниковая дверь двустворчатая (с фиксацией полотна), с шириной монтажного проема 2500мм, высотой монтажного проема 2600мм, стандартной толщиной полотна 40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Корпус петли выполнен из нержавеющей стали и прочного полимера;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Ось петли выполнена из нержавеющей стали;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Уверенная фиксация полотна в створе проема;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Жесткий ход открывания/закрывания двери под действием пружинного механизма;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Фиксация полотна двери в открытом положении под углом 90°;</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Прогрессивная скорость закрытия (чем больше угол открытия, тем сильнее и быстрее закрытие).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Лёгкое многослойное полотно (оцинкованный лист крашеной стали 0,6мм + ППУ + оцинкованный лист крашеной стали 0,6мм), обрамленное по периметру специальным алюминиевым профилем;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Окно овальное с резиновым обрамлением 300х580;</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По периметру двери резиновый уплотнительный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Примечание: ВХ-1 и ВХ-2 – это тандем дверей – дверь холодильной камеры и маятниковая дверь, устанавливаемые в один проем. Дверь холодильной камеры служит для теплоизоляции холодильного контура, а маятниковая дверь снижает потери холода 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поступление тепла при открытой холодильной двери во время загрузки/выгрузки продукта из камеры. Рама служит одновременно основой для монтажа дверей и усилением проема на ненесущие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ВХ3 – 2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двустворчатая (промышленной серии), для низкотемпературной камеры (-18-20) с шириной светового проема 2500мм, высотой светового проема 3000мм, стандартной толщиной полотна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Многослойная сэндвич панель (оцинкованный лист крашеная сталь 0,6 мм. + ППУ + оцинкованный лист крашеная сталь 0,6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S: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Разрыв мостика холода – пластиковый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Уплотнитель – резиновый профиль по периметру полотна, двухконтурный. Нижний уплотнитель повышенной износостойкости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Рама собирается на месте эксплуатации при помощи комплектов уголков;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Обрамление проема - профиль 50х150, с плющением по краям 10мм;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 лист крашеная сталь 0,6 мм. RAL 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уплотнительной резины: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Комплект электронагревательных проводов;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ПЭНов прокладываемых в раме и между створок РДД(ОН) составляет 25Вт/м. п.;</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 для обогрева порога высокой мощности 50Вт/м. п.;</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ПЭНы прокладываются по внутренним каналам, выводятся в верхнем углу со стороны открывания;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распаячная коробка с металлическим рукавом для прокладки внешней части ПЭНов от рамы до распаячной коробки.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Тип ручки - рычажный.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С внешней стороны закрывается на ключ, с внутренней стороны с функцией аварийного выхода.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Изготавливается с разрывом мостика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Корпус из высокопрочного пластика, внутренний механизм и рычаг из пищевой нержавеющей стали.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С внутренней стороны полотна в верхней и нижней части устанавливаются дополнительные запоры, соединенные с основной ручкой нержавеющими тягами.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Усиленный порог, монтируется в уровень с полом из профиля 60х60х4,0мм -выдерживает проезд механизированной техники тяжелой.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порога – пищевая нержавеющая сталь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Дополнительные ребра жесткости по всей длине, усиливают порог, создают острую кромку контакта с бетоном, что сохраняет бетонное основание от разрушения.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Зацепы по длине служат для жесткой фиксации порога в полу.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Металлический кабель канал для установки ПЭНа.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ВХ4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Откатная дверь (промышленной серии) для низкотемпературной камеры (-18-12С), с шириной светового проема 3000мм, высотой светового проема 3000мм, стандартной толщиной полотна 100мм, правый откат двери (дверь открывается вправо), с замком.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Многослойная сэндвич панель (оцинкованный лист крашеная сталь 0,6 мм. + ППУ + оцинкованный лист крашеная сталь 0,6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S: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Разрыв мостика холода – пластиковый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Уплотнитель – резиновый профиль по периметру полотна, в два контура, жесткое крепление через прижимной профиль. Нижний уплотнитель повышенной износостойкости.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 xml:space="preserve">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 Рама </w:t>
            </w:r>
            <w:r>
              <w:rPr>
                <w:rFonts w:cs="Times New Roman" w:ascii="Times New Roman" w:hAnsi="Times New Roman"/>
                <w:kern w:val="0"/>
                <w:sz w:val="22"/>
                <w:szCs w:val="22"/>
                <w:shd w:fill="FFFFFF" w:val="clear"/>
                <w:lang w:val="ru-RU" w:bidi="ar-SA"/>
              </w:rPr>
              <w:t>-цвет по согласованию</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ПЭНа в раме составляет 25Вт/п.м.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Рама собирается на месте эксплуатации при помощи комплектов уголков.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Обрамление проема - профиль 40х150х40, с плющением по краям 10мм из стали 0.6мм RAL 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Порог усиленный: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Выполнен из профиля 60х60х4,0мм.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порога – пищевая нержавеющая сталь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Дополнительные ребра жесткости по всей длине, усиливают порог, создают острую кромку.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контакта с бетоном, что сохраняет бетонное основание от разрушения.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Зацепы по длине служат для жесткой фиксации порога в полу.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Металлический кабель канал для установки ПЭНа.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Мощность ПЭНа в пороге составляет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50 Вт/п.м.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 (Провод Электронагревательный), для дверей с Алюминиевой рамой - 25 Вт/м – 2 шт. (обогрев стоек и поперечины рамы), 50Вт/м -1шт. (в пороге).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Подвесная система: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Рельс - труба стальная нержавеющая d48,3мм. Кронштейны – оцинкованная сталь. Ролики -высокопрочный пластик.</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Регулировка в трех плоскостях.</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Изгиб рельсы в конечной стадии закрытия.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Глубокий резиновый буфер, с двух сторон.</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На кронштейне ролика установлен ограничитель.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Система нижнего прижима полотна: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Комплект прижимного и направляющего башмаков, изготовленных из высокопрочного пластика с металлической вставкой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Крепление осуществляется при помощи анкеров, входящих в комплект поставки.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Направляющая из анодированного алюминиевого профиля.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Ручка-рычажная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Замок накладной (пластик) с системой аварийного выхода.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ВХ5 – 1шт.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(Промышленной серии) для низкотемпературной камеры (-18-20С), с шириной светового проема 1000мм, высотой светового проема 2100мм, стандартной толщиной полотна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Многослойная сэндвич панель (оцинкованный лист крашеная сталь 0,6 мм. + ППУ + оцинкованный лист крашеная сталь 0,6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S: 100мм.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Разрыв мостика холода – пластиковый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Уплотнитель – резиновый профиль по периметру полотна, двухконтурный. Нижний уплотнитель повышенной износостойкости.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Рама собирается на месте эксплуатации при помощи комплектов уголков.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Обрамление проема - профиль 50х150, с плющением по краям 10мм.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 лист крашеная сталь 0,6 мм. RAL 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уплотнительной резины: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Комплект электронагревательных проводов.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ПЭНов прокладываемых в раме и между створок РДД(ОН) составляет 25Вт/м. п.</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 для обогрева порога высокой мощности 50Вт/м. п.</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ПЭНы прокладываются по внутренним каналам, выводятся в верхнем углу со стороны открывания.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Распаячная коробка с металлическим рукавом для прокладки внешней части ПЭНов от рамы до распаячной коробки.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Тип ручки - рычажный.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С внешней стороны закрывается на ключ, с внутренней стороны с функцией аварийного выхода.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w:t>
            </w:r>
            <w:r>
              <w:rPr>
                <w:rFonts w:cs="Times New Roman" w:ascii="Times New Roman" w:hAnsi="Times New Roman"/>
                <w:kern w:val="0"/>
                <w:sz w:val="22"/>
                <w:szCs w:val="22"/>
                <w:lang w:val="ru-RU" w:bidi="ar-SA"/>
              </w:rPr>
              <w:t>Изготавливается с разрывом мостика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Корпус из высокопрочного пластика, внутренний механизм и рычаг из пищевой нержавеющей стали.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С внутренней стороны полотна в верхней и нижней части устанавливаются дополнительные запоры, соединенные с основной ручкой нержавеющими тягами.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Усиленный порог, монтируется в уровень с полом из профиля 60х60х4,0мм.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порога – пищевая нержавеющая сталь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Дополнительные ребра жесткости по всей длине, усиливают порог, создают острую кромку контакта с бетоном, что сохраняет бетонное основание от разрушения.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Зацепы по длине служат для жесткой фиксации порога в полу.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Металлический кабель канал для установки ПЭНа.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ВХ6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двустворчатая противопожарная (предел огнестойкости EI60) для среднетемпературной камеры (-5+5С), с шириной светового проема 1800мм, высотой светового проема 2500мм, стандартной толщиной полотна 150мм.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ВХ7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Откатная дверь для среднетемпературной камеры (-5+5С), с шириной светового проема 2000мм, высотой светового проема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2500мм, стандартной толщиной полотна 80мм, левый откат двери (дверь открывается влево).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Многослойная сэндвич панель (оцинкованный лист крашеная сталь 0,6 мм. + ППУ +оцинкованный лист крашеная сталь 0,6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Толщина полотна S: 80мм.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Цвет полотна: стандартный - RAL9003 (белый).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Разрыв мостика холода – пластиковый профиль.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Уплотнитель – резиновый профиль по периметру полотна, в два контура, Жесткое крепление через прижимной профиль. Нижний уплотнитель повышенной износостойкости.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 xml:space="preserve">Накладная рама состоит из анодированного алюминиевого профиля с алюминиевой заглушкой для закрытия крепежных мест и пластиковой заглушкой ПЭНа (провода электрического нагревательного) Рама </w:t>
            </w:r>
            <w:r>
              <w:rPr>
                <w:rFonts w:cs="Times New Roman" w:ascii="Times New Roman" w:hAnsi="Times New Roman"/>
                <w:kern w:val="0"/>
                <w:sz w:val="22"/>
                <w:szCs w:val="22"/>
                <w:shd w:fill="FFFFFF" w:val="clear"/>
                <w:lang w:val="ru-RU" w:bidi="ar-SA"/>
              </w:rPr>
              <w:t>-цвет по согласованию</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ПЭНа в раме составляет 25Вт/п.м.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Рама собирается на месте эксплуатации при помощи комплектов уголков.</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Обрамление проема - профиль 40х150х40, с плющением по краям 10мм из стали 0.6мм RAL 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Порог усиленный: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Выполнен из профиля 60х60х4,0мм.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порога – пищевая нержавеющая сталь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Дополнительные ребра жесткости по всей длине, усиливают порог, создают острую кромку контакта с бетоном, что сохраняет бетонное основание от разрушения.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Кронштейны для позиционирования порога, позволяют осуществлять установку порога при заливке полов, не имея в наличии дверей.</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Зацепы по длине служат для жесткой фиксации порога в полу.</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Металлический кабель канал для установки ПЭНа.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Мощность ПЭНа в пороге составляет 50 Вт/п.м.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ПЭН (Провод Электронагревательный), для дверей с Алюминиевой рамой - 25 Вт/м – 2 шт. (обогрев стоек и поперечины рамы), 50Вт/м -1шт. (в пороге).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Подвесная система: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Рельс - труба стальная нержавеющая d48,3мм. Кронштейны – оцинкованная сталь. Ролики -высокопрочный пластик.</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Регулировка в трех плоскостях.</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Изгиб рельсы в конечной стадии закрытия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Глубокий резиновый буфер, с двух сторон</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 кронштейне ролика установлен ограничитель.</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Система нижнего прижима полотна: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Комплект прижимного и направляющего башмаков, изготовленных из высокопрочного пластика с металлической вставкой AISI304.</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Крепление осуществляется при помощи анкеров, входящих в комплект поставки.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Направляющая из анодированного алюминиевого профиля.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Ручка-рычажная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Д4.2.1, Д216 – 2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противопожарная (предел огнестойкости EI60) для среднетемпературной камеры (-5+5С), с шириной светового проема 1070мм, высотой светового проема 2185мм, стандартной толщиной полотна 150мм, левое открывание.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 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Д4.2.2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противопожарная (предел огнестойкости EI60) для низкотемпературной камеры (-18-20С), с шириной светового проема 1070мм, высотой светового проема 2185мм, стандартной толщиной полотна 150мм, левое открывание.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 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Д5.2.1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противопожарная (предел огнестойкости EI60) для среднетемпературной камеры (-5+5С), с шириной светового проема 1070мм, высотой светового проема 2185мм, стандартной толщиной полотна 150мм, правое открывание.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 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Д5.2.2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Распашная дверь одностворчатая противопожарная (предел огнестойкости EI60) для низкотемпературной камеры (-18-20С), с шириной светового проема 1070мм, высотой светового проема 2185мм, стандартной толщиной полотна 150мм, правое открывание.</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Полотно двери представляет собой многослойную теплоизоляционную конструкцию толщиной 150 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Обшивки полотна – крашенная (RAL9003) сталь толщиной 0,6 мм, с полимерным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покрытием разрешенном к применению в пищевой промышленности или нержавеющая сталь толщиной 0,8 мм под пленкой. Наполнение - заливная, огнеупорная пена. Толщина изоляции -150мм. Уплотнитель - по периметру полотна. Дверные петли –подъемные из нержавеющей стали. Замок врезной с системой аварийного выхода. Для предотвращения проникания дыма, на полотне установлен герметичный резиновый уплотнитель. На полотне двери имеются все необходимые технологические отверстия для установки фурнитуры.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 распашной противопожарной двери изготовлена из холоднокатаной стали толщиной 2,0мм. и состоит из двух частей, наружной и внутренней. Обе рамы заполнены огнеупорной пеной. При монтаже наружная и внутренняя часть стягиваются между собой, тем самым охватывая проем и полностью герметизируя его. На раме имеются все необходимые технологические отверстия для проведения монтажа и крепления фурнитуры. Раму фиксируют к стене при помощи крепежных элементов (выбираются в зависимости от материала стены).</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Затем крепежные отверстия заполняются огнеупорным герметиком и закрываются заглушками, входящими в комплектацию. После завершения монтажа рамы, на поверхность прилегания уплотнителя полотна к раме, наклеивают терморасширяющуюся ленту, которая увеличивается в объеме под воздействием высокой температуры, тем самым предотвращая проникновение дыма и огня.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Обогрев уплотнителя (Провод Электрический Нагревательный) – 50 Вт/м проводится в дверной раме и полотне. Обогрев нижней кромки полотна осуществляется по полотну, штробление порога не требуется.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Ручка: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Противопожарная ручка на фланце, из нержавеющей стали со стойким декоративным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Изготавливается с разрывом моста холода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Доводчик с рычажным механизмом регулируемое усилие закрывания EN 2-6</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регулируемый гидравлический амортизатор открывания регулируемая скорость закрывания с дохлопом в диапазонах 180° - 15°, 15° - 0° с антикоррозийным покрытием.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Петля:</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w:t>
            </w:r>
            <w:r>
              <w:rPr>
                <w:rFonts w:cs="Times New Roman" w:ascii="Times New Roman" w:hAnsi="Times New Roman"/>
                <w:kern w:val="0"/>
                <w:sz w:val="22"/>
                <w:szCs w:val="22"/>
                <w:lang w:val="ru-RU" w:bidi="ar-SA"/>
              </w:rPr>
              <w:tab/>
              <w:t>Материал: нержавеющая сталь AISI 304 Плавная регулировка в трех плоскостях, функция подъема при открывании, противовзломные функции.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Д12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Маятниковая дверь двухстворчатая с фиксацией полотна (</w:t>
            </w:r>
            <w:r>
              <w:rPr>
                <w:rFonts w:cs="Times New Roman" w:ascii="Times New Roman" w:hAnsi="Times New Roman"/>
                <w:kern w:val="0"/>
                <w:sz w:val="22"/>
                <w:szCs w:val="22"/>
                <w:lang w:val="en-US" w:bidi="ar-SA"/>
              </w:rPr>
              <w:t>Fix</w:t>
            </w:r>
            <w:r>
              <w:rPr>
                <w:rFonts w:cs="Times New Roman" w:ascii="Times New Roman" w:hAnsi="Times New Roman"/>
                <w:kern w:val="0"/>
                <w:sz w:val="22"/>
                <w:szCs w:val="22"/>
                <w:lang w:val="ru-RU" w:bidi="ar-SA"/>
              </w:rPr>
              <w:t>90) с шириной проема 1600мм, высотой проема 2200мм, толщиной полотна 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Дверное полотно: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внутренняя и внешняя стороны полотна – </w:t>
            </w:r>
            <w:r>
              <w:rPr>
                <w:rFonts w:cs="Times New Roman" w:ascii="Times New Roman" w:hAnsi="Times New Roman"/>
                <w:kern w:val="0"/>
                <w:sz w:val="22"/>
                <w:szCs w:val="22"/>
                <w:lang w:val="en-US" w:bidi="ar-SA"/>
              </w:rPr>
              <w:t>RAL</w:t>
            </w:r>
            <w:r>
              <w:rPr>
                <w:rFonts w:cs="Times New Roman" w:ascii="Times New Roman" w:hAnsi="Times New Roman"/>
                <w:kern w:val="0"/>
                <w:sz w:val="22"/>
                <w:szCs w:val="22"/>
                <w:lang w:val="ru-RU" w:bidi="ar-SA"/>
              </w:rPr>
              <w:t>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обрамление полотна – алюминиевый профиль без покраски.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Рама, заглушки </w:t>
            </w:r>
            <w:r>
              <w:rPr>
                <w:rFonts w:cs="Times New Roman" w:ascii="Times New Roman" w:hAnsi="Times New Roman"/>
                <w:kern w:val="0"/>
                <w:sz w:val="22"/>
                <w:szCs w:val="22"/>
                <w:shd w:fill="FFFFFF" w:val="clear"/>
                <w:lang w:val="ru-RU" w:bidi="ar-SA"/>
              </w:rPr>
              <w:t>-цвет по согласованию</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Окно овальное с резиновым обрамлением 300х580 – 2шт.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Отбойник ПНД формованный (черный) с внутренней/внешней стороны полотна, для ног. Высота 800мм – 2шт.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Комплект крепежных элементов для рамы угловой RAL</w:t>
            </w:r>
            <w:r>
              <w:rPr>
                <w:rFonts w:cs="Times New Roman" w:ascii="Times New Roman" w:hAnsi="Times New Roman"/>
                <w:kern w:val="0"/>
                <w:sz w:val="22"/>
                <w:szCs w:val="22"/>
                <w:shd w:fill="FFFFFF" w:val="clear"/>
                <w:lang w:val="ru-RU" w:bidi="ar-SA"/>
              </w:rPr>
              <w:t>-цвет по согласованию</w:t>
            </w:r>
            <w:r>
              <w:rPr>
                <w:rFonts w:cs="Times New Roman" w:ascii="Times New Roman" w:hAnsi="Times New Roman"/>
                <w:kern w:val="0"/>
                <w:sz w:val="22"/>
                <w:szCs w:val="22"/>
                <w:lang w:val="ru-RU" w:bidi="ar-SA"/>
              </w:rPr>
              <w:t xml:space="preserve"> -на полнотелый кирпич толщиной 150мм.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Д13 – 1 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Маятниковая дверь двухстворчатая с фиксацией полотна (Fix90) с шириной проема 1400мм, высотой проема 2200мм, толщиной полотна 40мм.</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Дверное полотно</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внутренняя и внешняя стороны полотна – RAL9003;</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обрамление полотна – алюминиевый профиль без покраски.</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Рама</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 угловая – </w:t>
            </w:r>
            <w:r>
              <w:rPr>
                <w:rFonts w:cs="Times New Roman" w:ascii="Times New Roman" w:hAnsi="Times New Roman"/>
                <w:kern w:val="0"/>
                <w:sz w:val="22"/>
                <w:szCs w:val="22"/>
                <w:shd w:fill="FFFFFF" w:val="clear"/>
                <w:lang w:val="ru-RU" w:bidi="ar-SA"/>
              </w:rPr>
              <w:t>цвет по согласованию</w:t>
            </w:r>
            <w:r>
              <w:rPr>
                <w:rFonts w:cs="Times New Roman" w:ascii="Times New Roman" w:hAnsi="Times New Roman"/>
                <w:kern w:val="0"/>
                <w:sz w:val="22"/>
                <w:szCs w:val="22"/>
                <w:lang w:val="ru-RU" w:bidi="ar-SA"/>
              </w:rPr>
              <w:t>.</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 xml:space="preserve">Заглушки- </w:t>
            </w:r>
            <w:r>
              <w:rPr>
                <w:rFonts w:cs="Times New Roman" w:ascii="Times New Roman" w:hAnsi="Times New Roman"/>
                <w:kern w:val="0"/>
                <w:sz w:val="22"/>
                <w:szCs w:val="22"/>
                <w:shd w:fill="FFFFFF" w:val="clear"/>
                <w:lang w:val="ru-RU" w:bidi="ar-SA"/>
              </w:rPr>
              <w:t>цвет по согласованию</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Окно овальное с резиновым обрамлением 300х580 – 2шт.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Отбойник ПНД формованный (черный) с внутренней/внешней стороны полотна, для ног. Высота 800мм – 2шт.</w:t>
            </w:r>
          </w:p>
          <w:p>
            <w:pPr>
              <w:pStyle w:val="ListParagraph"/>
              <w:widowControl/>
              <w:tabs>
                <w:tab w:val="clear" w:pos="708"/>
                <w:tab w:val="left" w:pos="622" w:leader="none"/>
                <w:tab w:val="left" w:pos="1380" w:leader="none"/>
              </w:tabs>
              <w:suppressAutoHyphens w:val="true"/>
              <w:spacing w:lineRule="auto" w:line="240" w:before="0" w:after="0"/>
              <w:ind w:left="130"/>
              <w:contextualSpacing/>
              <w:jc w:val="both"/>
              <w:rPr>
                <w:rFonts w:ascii="Times New Roman" w:hAnsi="Times New Roman" w:cs="Times New Roman"/>
              </w:rPr>
            </w:pPr>
            <w:r>
              <w:rPr>
                <w:rFonts w:cs="Times New Roman" w:ascii="Times New Roman" w:hAnsi="Times New Roman"/>
                <w:kern w:val="0"/>
                <w:sz w:val="22"/>
                <w:szCs w:val="22"/>
                <w:lang w:val="ru-RU" w:bidi="ar-SA"/>
              </w:rPr>
              <w:t>Комплект крепежных элементов для рамы угловой-</w:t>
            </w:r>
            <w:r>
              <w:rPr>
                <w:rFonts w:cs="Times New Roman" w:ascii="Times New Roman" w:hAnsi="Times New Roman"/>
                <w:kern w:val="0"/>
                <w:sz w:val="22"/>
                <w:szCs w:val="22"/>
                <w:shd w:fill="FFFFFF" w:val="clear"/>
                <w:lang w:val="ru-RU" w:bidi="ar-SA"/>
              </w:rPr>
              <w:t xml:space="preserve">цвет по согласованию- </w:t>
            </w:r>
            <w:r>
              <w:rPr>
                <w:rFonts w:cs="Times New Roman" w:ascii="Times New Roman" w:hAnsi="Times New Roman"/>
                <w:kern w:val="0"/>
                <w:sz w:val="22"/>
                <w:szCs w:val="22"/>
                <w:lang w:val="ru-RU" w:bidi="ar-SA"/>
              </w:rPr>
              <w:t>на полнотелый кирпич толщиной 150мм.</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Правила и контроль выполнения монтажных работ должны соответствовать требованиям СП 70.13330.2012, ГОСТ Р 71972-2025, ГОСТ 31174-2017.</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Установка противопожарных дверей должна соответствовать ГОСТ Р 59642-2021 «Средства противопожарной защиты зданий и сооружений. Заполнение проёмов в противопожарных преградах. Общие требования к монтажу, техническому обслуживанию и ремонту. Методы контроля»</w:t>
            </w:r>
          </w:p>
          <w:p>
            <w:pPr>
              <w:pStyle w:val="ListParagraph"/>
              <w:widowControl/>
              <w:numPr>
                <w:ilvl w:val="0"/>
                <w:numId w:val="7"/>
              </w:numPr>
              <w:tabs>
                <w:tab w:val="clear" w:pos="708"/>
                <w:tab w:val="left" w:pos="622" w:leader="none"/>
                <w:tab w:val="left" w:pos="1380" w:leader="none"/>
              </w:tabs>
              <w:suppressAutoHyphens w:val="true"/>
              <w:spacing w:lineRule="auto" w:line="240" w:before="0" w:after="0"/>
              <w:ind w:hanging="0" w:left="130"/>
              <w:contextualSpacing/>
              <w:jc w:val="both"/>
              <w:rPr>
                <w:rFonts w:ascii="Times New Roman" w:hAnsi="Times New Roman" w:cs="Times New Roman"/>
              </w:rPr>
            </w:pPr>
            <w:r>
              <w:rPr>
                <w:rFonts w:cs="Times New Roman" w:ascii="Times New Roman" w:hAnsi="Times New Roman"/>
                <w:kern w:val="0"/>
                <w:sz w:val="22"/>
                <w:szCs w:val="22"/>
                <w:lang w:val="ru-RU" w:bidi="ar-SA"/>
              </w:rPr>
              <w:t>По неоговоренным исходным данным необходимо руководствоваться проектной документацией шифр 053-24-П-АР ООО «Экспертиза недвижимости» и по согласованию Заказчиком.</w:t>
            </w:r>
          </w:p>
        </w:tc>
      </w:tr>
      <w:tr>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8</w:t>
            </w:r>
          </w:p>
        </w:tc>
        <w:tc>
          <w:tcPr>
            <w:tcW w:w="2798" w:type="dxa"/>
            <w:tcBorders/>
          </w:tcPr>
          <w:p>
            <w:pPr>
              <w:pStyle w:val="Normal"/>
              <w:widowControl/>
              <w:suppressAutoHyphens w:val="true"/>
              <w:spacing w:lineRule="auto" w:line="240" w:before="0" w:after="0"/>
              <w:jc w:val="left"/>
              <w:rPr>
                <w:rFonts w:ascii="Times New Roman" w:hAnsi="Times New Roman" w:eastAsia="Calibri" w:cs="Times New Roman"/>
                <w:bCs/>
              </w:rPr>
            </w:pPr>
            <w:r>
              <w:rPr>
                <w:rStyle w:val="2"/>
                <w:rFonts w:eastAsia="Calibri" w:eastAsiaTheme="minorHAnsi"/>
                <w:kern w:val="0"/>
                <w:sz w:val="22"/>
                <w:szCs w:val="22"/>
                <w:lang w:eastAsia="en-US" w:bidi="ar-SA"/>
              </w:rPr>
              <w:t>Требования к оформлению документации</w:t>
            </w:r>
          </w:p>
        </w:tc>
        <w:tc>
          <w:tcPr>
            <w:tcW w:w="5964" w:type="dxa"/>
            <w:tcBorders/>
          </w:tcPr>
          <w:p>
            <w:pPr>
              <w:pStyle w:val="Normal"/>
              <w:keepNext w:val="true"/>
              <w:widowControl/>
              <w:suppressAutoHyphens w:val="true"/>
              <w:spacing w:lineRule="auto" w:line="240" w:before="0" w:after="0"/>
              <w:jc w:val="both"/>
              <w:rPr>
                <w:rFonts w:ascii="Times New Roman" w:hAnsi="Times New Roman" w:eastAsia="Calibri" w:cs="Times New Roman"/>
              </w:rPr>
            </w:pPr>
            <w:r>
              <w:rPr>
                <w:rFonts w:eastAsia="Calibri" w:cs="Times New Roman" w:ascii="Times New Roman" w:hAnsi="Times New Roman"/>
                <w:color w:val="000000"/>
                <w:spacing w:val="1"/>
                <w:kern w:val="0"/>
                <w:sz w:val="22"/>
                <w:szCs w:val="22"/>
                <w:shd w:fill="FFFFFF" w:val="clear"/>
                <w:lang w:val="ru-RU" w:eastAsia="en-US" w:bidi="ar-SA"/>
              </w:rPr>
              <w:t xml:space="preserve"> </w:t>
            </w:r>
            <w:r>
              <w:rPr>
                <w:rFonts w:eastAsia="Calibri" w:cs="Times New Roman" w:ascii="Times New Roman" w:hAnsi="Times New Roman"/>
                <w:color w:val="000000"/>
                <w:spacing w:val="1"/>
                <w:kern w:val="0"/>
                <w:sz w:val="22"/>
                <w:szCs w:val="22"/>
                <w:shd w:fill="FFFFFF" w:val="clear"/>
                <w:lang w:val="ru-RU" w:eastAsia="en-US" w:bidi="ar-SA"/>
              </w:rPr>
              <w:t xml:space="preserve">СП 70.13330.2012, </w:t>
            </w:r>
            <w:r>
              <w:rPr>
                <w:rFonts w:eastAsia="Calibri" w:cs="Times New Roman" w:ascii="Times New Roman" w:hAnsi="Times New Roman"/>
                <w:kern w:val="0"/>
                <w:sz w:val="22"/>
                <w:szCs w:val="22"/>
                <w:lang w:val="ru-RU" w:eastAsia="en-US" w:bidi="ar-SA"/>
              </w:rPr>
              <w:t>ГОСТ Р 59642-2021.</w:t>
            </w:r>
          </w:p>
          <w:p>
            <w:pPr>
              <w:pStyle w:val="Normal"/>
              <w:widowControl/>
              <w:suppressAutoHyphens w:val="true"/>
              <w:spacing w:lineRule="auto" w:line="240" w:before="0" w:after="0"/>
              <w:jc w:val="both"/>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r>
          </w:p>
        </w:tc>
      </w:tr>
      <w:tr>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9</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Требования к применяемым материалам, запчастям, оборудованию, металлоконструкциям</w:t>
            </w:r>
          </w:p>
        </w:tc>
        <w:tc>
          <w:tcPr>
            <w:tcW w:w="596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1. Все двери должны иметь сертификат соответствия или декларацию (ТР ТС / ЕАС) в зависимости от назначения, а материалы (особенно в пищевой промышленности) — санитарно-эпидемиологическое заключение, противопожарные двери – пожарный сертификат.</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2. Начальная (максимальная) цена включает в себя все налоги, сборы и иные обязательные платежи, а также затраты на изготовление, доставку оборудования до места монтажа, монтаж и </w:t>
            </w:r>
            <w:r>
              <w:rPr>
                <w:rFonts w:eastAsia="Calibri" w:cs="Times New Roman" w:ascii="Times New Roman" w:hAnsi="Times New Roman"/>
                <w:color w:themeColor="text1" w:val="000000"/>
                <w:kern w:val="0"/>
                <w:sz w:val="22"/>
                <w:szCs w:val="22"/>
                <w:lang w:val="ru-RU" w:eastAsia="en-US" w:bidi="ar-SA"/>
              </w:rPr>
              <w:t xml:space="preserve">проверку их работы, а также хранение дверей на территории Исполнитель с момента изготовления дверей до начала монтажных работ по извещению Заказчика о строительной готовности помещений, </w:t>
            </w:r>
            <w:r>
              <w:rPr>
                <w:rFonts w:eastAsia="Calibri" w:cs="Times New Roman" w:ascii="Times New Roman" w:hAnsi="Times New Roman"/>
                <w:kern w:val="0"/>
                <w:sz w:val="22"/>
                <w:szCs w:val="22"/>
                <w:lang w:val="ru-RU" w:eastAsia="en-US" w:bidi="ar-SA"/>
              </w:rPr>
              <w:t>подготовку необходимой рабочей документации и инструкции по эксплуатации.</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3. Доставка дверей осуществляется силами и средствами Исполнителя.</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4. После заключения договора в течение пяти рабочих дней Исполнитель в обязательном порядке выполняет взаимодействие с Заказчиком в целях согласования и уточнения мер, объема, чертежа, величин и других характеристик поставляемых материалов. Исполнитель обязан определить компетентное ответственное лицо для взаимодействия с Заказчиком.</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5. Заказчик не несет ответственности за транспортные расходы по обмену поставляемых дверей.</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6. Поставленные изделия и материалы должны быть новым, выпуска не ранее 2026 г., в том числе:</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которые не были в употреблении, в ремонте;</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ранее не использованные;</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которые не были восстановлены;</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у которых не была осуществлена замена составных частей, не были восстановлены потребительские свойства;</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от известных и надежных производителей, имеющих необходимые разрешение, сертификаты, паспорта.</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свободным от прав третьих лиц.</w:t>
            </w:r>
          </w:p>
          <w:p>
            <w:pPr>
              <w:pStyle w:val="Normal"/>
              <w:widowControl/>
              <w:suppressAutoHyphens w:val="true"/>
              <w:spacing w:lineRule="auto" w:line="240" w:before="0" w:after="0"/>
              <w:jc w:val="both"/>
              <w:rPr>
                <w:rFonts w:ascii="Times New Roman" w:hAnsi="Times New Roman" w:cs="Times New Roman"/>
                <w:color w:val="FF0000"/>
              </w:rPr>
            </w:pPr>
            <w:r>
              <w:rPr>
                <w:rFonts w:eastAsia="Calibri" w:cs="Times New Roman" w:ascii="Times New Roman" w:hAnsi="Times New Roman"/>
                <w:kern w:val="0"/>
                <w:sz w:val="22"/>
                <w:szCs w:val="22"/>
                <w:lang w:val="ru-RU" w:eastAsia="en-US" w:bidi="ar-SA"/>
              </w:rPr>
              <w:t>7. Поставка восстановленных и бывших в употреблении изделий не допускается</w:t>
            </w:r>
            <w:r>
              <w:rPr>
                <w:rFonts w:eastAsia="Calibri" w:cs="Times New Roman" w:ascii="Times New Roman" w:hAnsi="Times New Roman"/>
                <w:color w:val="FF0000"/>
                <w:kern w:val="0"/>
                <w:sz w:val="22"/>
                <w:szCs w:val="22"/>
                <w:lang w:val="ru-RU" w:eastAsia="en-US" w:bidi="ar-SA"/>
              </w:rPr>
              <w:t>.</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8. Исполнитель должен при хранении и транспортировке предохранять двери от механических повреждений и ударов, защищать от воздействия погоды и влажности во время хранения и перевозки, в том числе при погрузке/разгрузке в транспортное средство до отправки. Двери должны поставляться в упаковке (таре), обеспечивающей защиту его от повреждения или порчи во время транспортировки и хранения. Исполнитель несет ответственность за достаточность и надежность упаковки.</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9. Двери должны иметь необходимые маркировки, наклейки и пломбы, бирки, маркировочные щитки, если такие требования предъявляются действующим законодательством Российской Федерации.</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10. Исполнитель гарантирует Заказчику безотказную работу поставляемых дверей и оборудования </w:t>
            </w:r>
            <w:r>
              <w:rPr>
                <w:rFonts w:eastAsia="Calibri" w:cs="Times New Roman" w:ascii="Times New Roman" w:hAnsi="Times New Roman"/>
                <w:color w:themeColor="text1" w:val="000000"/>
                <w:kern w:val="0"/>
                <w:sz w:val="22"/>
                <w:szCs w:val="22"/>
                <w:lang w:val="ru-RU" w:eastAsia="en-US" w:bidi="ar-SA"/>
              </w:rPr>
              <w:t xml:space="preserve">(комплектующих) к ним </w:t>
            </w:r>
            <w:r>
              <w:rPr>
                <w:rFonts w:eastAsia="Calibri" w:cs="Times New Roman" w:ascii="Times New Roman" w:hAnsi="Times New Roman"/>
                <w:kern w:val="0"/>
                <w:sz w:val="22"/>
                <w:szCs w:val="22"/>
                <w:lang w:val="ru-RU" w:eastAsia="en-US" w:bidi="ar-SA"/>
              </w:rPr>
              <w:t>на весь период гарантийного срока, установленного заводом изготовителем.</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11. В случае гарантийных обязательств Исполнитель за свой счет забирает и поставляет двери и оборудование (комплектующие) Заказчику до указанного места поставки в течение 14 дней.</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12. Поврежденные двери и оборудование (комплектующие) к ним ненадлежащего качества или не тот товар (не согласованный с Заказчиком), не принимаются и должны быть заменены на новый в течение 10 рабочих дней за счет Поставщика с даты уведомления Заказчиком.</w:t>
            </w:r>
          </w:p>
          <w:p>
            <w:pPr>
              <w:pStyle w:val="Normal"/>
              <w:widowControl/>
              <w:suppressAutoHyphens w:val="true"/>
              <w:spacing w:lineRule="auto" w:line="240" w:before="0" w:after="0"/>
              <w:jc w:val="both"/>
              <w:rPr>
                <w:rStyle w:val="2"/>
                <w:rFonts w:eastAsia="Calibri" w:eastAsiaTheme="minorHAnsi"/>
                <w:sz w:val="22"/>
                <w:szCs w:val="22"/>
              </w:rPr>
            </w:pPr>
            <w:r>
              <w:rPr>
                <w:rFonts w:eastAsia="Calibri" w:cs="Times New Roman" w:ascii="Times New Roman" w:hAnsi="Times New Roman"/>
                <w:kern w:val="0"/>
                <w:sz w:val="22"/>
                <w:szCs w:val="22"/>
                <w:lang w:val="ru-RU" w:eastAsia="en-US" w:bidi="ar-SA"/>
              </w:rPr>
              <w:t xml:space="preserve">13. </w:t>
            </w:r>
            <w:r>
              <w:rPr>
                <w:rStyle w:val="2"/>
                <w:rFonts w:eastAsia="Calibri" w:eastAsiaTheme="minorHAnsi"/>
                <w:kern w:val="0"/>
                <w:sz w:val="22"/>
                <w:szCs w:val="22"/>
                <w:lang w:eastAsia="en-US" w:bidi="ar-SA"/>
              </w:rPr>
              <w:t>Поставляемые двери и оборудование (комплектующие) должны иметь паспорта на русском языке и соответствовать требованиям государственных стандартов, в том числе для холодильного оборудования, а также иметь:</w:t>
            </w:r>
          </w:p>
          <w:p>
            <w:pPr>
              <w:pStyle w:val="Normal"/>
              <w:widowControl/>
              <w:suppressAutoHyphens w:val="true"/>
              <w:spacing w:lineRule="auto" w:line="240" w:before="0" w:after="0"/>
              <w:jc w:val="both"/>
              <w:rPr>
                <w:rStyle w:val="2"/>
                <w:rFonts w:eastAsia="Calibri" w:eastAsiaTheme="minorHAnsi"/>
                <w:sz w:val="22"/>
                <w:szCs w:val="22"/>
              </w:rPr>
            </w:pPr>
            <w:r>
              <w:rPr>
                <w:rStyle w:val="2"/>
                <w:rFonts w:eastAsia="Calibri" w:eastAsiaTheme="minorHAnsi"/>
                <w:kern w:val="0"/>
                <w:sz w:val="22"/>
                <w:szCs w:val="22"/>
                <w:lang w:eastAsia="en-US" w:bidi="ar-SA"/>
              </w:rPr>
              <w:t>- сертификаты соответствия государственным стандартам, техническим условиям, выданные в порядке, установленном Госстандартом России;</w:t>
            </w:r>
          </w:p>
          <w:p>
            <w:pPr>
              <w:pStyle w:val="Normal"/>
              <w:widowControl/>
              <w:suppressAutoHyphens w:val="true"/>
              <w:spacing w:lineRule="auto" w:line="240" w:before="0" w:after="0"/>
              <w:jc w:val="both"/>
              <w:rPr>
                <w:rStyle w:val="2"/>
                <w:rFonts w:eastAsia="Calibri" w:eastAsiaTheme="minorHAnsi"/>
                <w:sz w:val="22"/>
                <w:szCs w:val="22"/>
              </w:rPr>
            </w:pPr>
            <w:r>
              <w:rPr>
                <w:rStyle w:val="2"/>
                <w:rFonts w:eastAsia="Calibri" w:eastAsiaTheme="minorHAnsi"/>
                <w:kern w:val="0"/>
                <w:sz w:val="22"/>
                <w:szCs w:val="22"/>
                <w:lang w:eastAsia="en-US" w:bidi="ar-SA"/>
              </w:rPr>
              <w:t>- сертификаты пожарной безопасности, выданные Государственной противопожарной службой;</w:t>
            </w:r>
          </w:p>
          <w:p>
            <w:pPr>
              <w:pStyle w:val="Normal"/>
              <w:widowControl/>
              <w:tabs>
                <w:tab w:val="clear" w:pos="708"/>
                <w:tab w:val="left" w:pos="444" w:leader="none"/>
                <w:tab w:val="left" w:pos="804" w:leader="none"/>
              </w:tabs>
              <w:suppressAutoHyphens w:val="true"/>
              <w:spacing w:lineRule="auto" w:line="240" w:before="0" w:after="0"/>
              <w:jc w:val="both"/>
              <w:rPr>
                <w:rFonts w:ascii="Times New Roman" w:hAnsi="Times New Roman" w:cs="Times New Roman"/>
              </w:rPr>
            </w:pPr>
            <w:r>
              <w:rPr>
                <w:rStyle w:val="2"/>
                <w:rFonts w:eastAsia="Calibri" w:eastAsiaTheme="minorHAnsi"/>
                <w:kern w:val="0"/>
                <w:sz w:val="22"/>
                <w:szCs w:val="22"/>
                <w:lang w:eastAsia="en-US" w:bidi="ar-SA"/>
              </w:rPr>
              <w:t>- сертификаты соответствия по электробезопасности.</w:t>
            </w:r>
          </w:p>
        </w:tc>
      </w:tr>
      <w:tr>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10</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Требования к приемке оборудования</w:t>
            </w:r>
          </w:p>
        </w:tc>
        <w:tc>
          <w:tcPr>
            <w:tcW w:w="5964" w:type="dxa"/>
            <w:tcBorders/>
          </w:tcPr>
          <w:p>
            <w:pPr>
              <w:pStyle w:val="ListParagraph"/>
              <w:widowControl/>
              <w:numPr>
                <w:ilvl w:val="0"/>
                <w:numId w:val="8"/>
              </w:numPr>
              <w:tabs>
                <w:tab w:val="clear" w:pos="708"/>
                <w:tab w:val="left" w:pos="417" w:leader="none"/>
              </w:tabs>
              <w:suppressAutoHyphens w:val="true"/>
              <w:spacing w:lineRule="auto" w:line="240" w:before="0" w:after="0"/>
              <w:ind w:hanging="0" w:left="0"/>
              <w:contextualSpacing/>
              <w:jc w:val="both"/>
              <w:rPr>
                <w:rFonts w:ascii="Times New Roman" w:hAnsi="Times New Roman" w:cs="Times New Roman"/>
                <w:color w:themeColor="text1" w:val="000000"/>
              </w:rPr>
            </w:pPr>
            <w:r>
              <w:rPr>
                <w:rFonts w:cs="Times New Roman" w:ascii="Times New Roman" w:hAnsi="Times New Roman"/>
                <w:color w:themeColor="text1" w:val="000000"/>
                <w:kern w:val="0"/>
                <w:sz w:val="22"/>
                <w:szCs w:val="22"/>
                <w:lang w:val="ru-RU" w:bidi="ar-SA"/>
              </w:rPr>
              <w:t>По факту изготовления дверей оборудования (комплектующих) к ним Исполнитель в письменной форме уведомляет об этом Заказчика.</w:t>
            </w:r>
          </w:p>
          <w:p>
            <w:pPr>
              <w:pStyle w:val="ListParagraph"/>
              <w:widowControl/>
              <w:numPr>
                <w:ilvl w:val="0"/>
                <w:numId w:val="8"/>
              </w:numPr>
              <w:tabs>
                <w:tab w:val="clear" w:pos="708"/>
                <w:tab w:val="left" w:pos="417" w:leader="none"/>
              </w:tabs>
              <w:suppressAutoHyphens w:val="true"/>
              <w:spacing w:lineRule="auto" w:line="240" w:before="0" w:after="0"/>
              <w:ind w:hanging="0" w:left="0"/>
              <w:contextualSpacing/>
              <w:jc w:val="both"/>
              <w:rPr>
                <w:rFonts w:ascii="Times New Roman" w:hAnsi="Times New Roman" w:cs="Times New Roman"/>
                <w:color w:themeColor="text1" w:val="000000"/>
              </w:rPr>
            </w:pPr>
            <w:r>
              <w:rPr>
                <w:rFonts w:cs="Times New Roman" w:ascii="Times New Roman" w:hAnsi="Times New Roman"/>
                <w:color w:themeColor="text1" w:val="000000"/>
                <w:kern w:val="0"/>
                <w:sz w:val="22"/>
                <w:szCs w:val="22"/>
                <w:lang w:val="ru-RU" w:bidi="ar-SA"/>
              </w:rPr>
              <w:t>Осмотр дверей и оборудования (комплектующих) по количеству, соответствию упаковки, на соответствие данных на упаковке данным, содержащимся в документации (паспорт, сертификат соответствия, сопроводительные расчетные документы, транспортные документы, инструкции по эксплуатации и монтажу и др.), на полноту и правильность оформления сопроводительных документов производится при поставке дверей на Объект капитального строительства «Агропромышленный парк «Черногорский».</w:t>
            </w:r>
          </w:p>
          <w:p>
            <w:pPr>
              <w:pStyle w:val="ListParagraph"/>
              <w:widowControl/>
              <w:numPr>
                <w:ilvl w:val="0"/>
                <w:numId w:val="8"/>
              </w:numPr>
              <w:tabs>
                <w:tab w:val="clear" w:pos="708"/>
                <w:tab w:val="left" w:pos="417" w:leader="none"/>
              </w:tabs>
              <w:suppressAutoHyphens w:val="true"/>
              <w:spacing w:lineRule="auto" w:line="240" w:before="0" w:after="0"/>
              <w:ind w:hanging="0" w:left="0"/>
              <w:contextualSpacing/>
              <w:jc w:val="both"/>
              <w:rPr>
                <w:rFonts w:ascii="Times New Roman" w:hAnsi="Times New Roman" w:cs="Times New Roman"/>
                <w:color w:themeColor="text1" w:val="000000"/>
              </w:rPr>
            </w:pPr>
            <w:r>
              <w:rPr>
                <w:rFonts w:cs="Times New Roman" w:ascii="Times New Roman" w:hAnsi="Times New Roman"/>
                <w:color w:themeColor="text1" w:val="000000"/>
                <w:kern w:val="0"/>
                <w:sz w:val="22"/>
                <w:szCs w:val="22"/>
                <w:lang w:val="ru-RU" w:bidi="ar-SA"/>
              </w:rPr>
              <w:t>Окончательная приемка дверей, оборудования (комплектующих) и монтажных работ производится после полного монтажа дверей комиссионно путем подписания Акта приемки выполненных работ (КС-2). Комиссия утверждается руководителем ООО «Управляющая компания Инфраструктура Хакасии».</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4.</w:t>
              <w:tab/>
              <w:t>Заказчик обязан информировать в письменной форме Исполнителя о конкретных сроках поставки до места поставки (монтажа) и о строительной готовности Объекта.</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5. Недостатки, обнаруженные в ходе приемки, фиксируются в соответствующем акте, подписываемом представителями Заказчика и Поставщика с указанием срока и порядка их устранения.</w:t>
            </w:r>
          </w:p>
          <w:p>
            <w:pPr>
              <w:pStyle w:val="Normal"/>
              <w:widowControl/>
              <w:suppressAutoHyphens w:val="true"/>
              <w:spacing w:lineRule="auto" w:line="240" w:before="0" w:after="0"/>
              <w:jc w:val="both"/>
              <w:rPr>
                <w:rFonts w:ascii="Times New Roman" w:hAnsi="Times New Roman" w:eastAsia="Calibri" w:cs="Times New Roman"/>
                <w:color w:themeColor="text1" w:val="000000"/>
              </w:rPr>
            </w:pPr>
            <w:r>
              <w:rPr>
                <w:rFonts w:eastAsia="Calibri" w:cs="Times New Roman" w:ascii="Times New Roman" w:hAnsi="Times New Roman"/>
                <w:color w:themeColor="text1" w:val="000000"/>
                <w:kern w:val="0"/>
                <w:sz w:val="22"/>
                <w:szCs w:val="22"/>
                <w:lang w:val="ru-RU" w:eastAsia="en-US" w:bidi="ar-SA"/>
              </w:rPr>
              <w:t>6. Оборудование, неудовлетворяющие требованиям настоящего Технического задания, не принимаются Заказчиком.</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r>
          </w:p>
        </w:tc>
      </w:tr>
      <w:tr>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11</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Гарантия исполнителя</w:t>
            </w:r>
          </w:p>
        </w:tc>
        <w:tc>
          <w:tcPr>
            <w:tcW w:w="5964" w:type="dxa"/>
            <w:tcBorders/>
          </w:tcPr>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1. Гарантийный срок устанавливается с момента подписания Заказчиком  Акта приемки выполненных работ (КС-2) и должен быть не менее 3 (трех) лет.</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 xml:space="preserve">2. В случае обнаружения в процессе эксплуатации после окончательной приемки дверей и оборудования (комплектующих) и подписания </w:t>
            </w:r>
            <w:r>
              <w:rPr>
                <w:rFonts w:eastAsia="Calibri" w:cs="Times New Roman" w:ascii="Times New Roman" w:hAnsi="Times New Roman"/>
                <w:color w:themeColor="text1" w:val="000000"/>
                <w:kern w:val="0"/>
                <w:sz w:val="22"/>
                <w:szCs w:val="22"/>
                <w:shd w:fill="FFFFFF" w:val="clear"/>
                <w:lang w:val="ru-RU" w:eastAsia="en-US" w:bidi="ar-SA"/>
              </w:rPr>
              <w:t>комиссионного Акта,</w:t>
            </w:r>
            <w:r>
              <w:rPr>
                <w:rFonts w:eastAsia="Calibri" w:cs="Times New Roman" w:ascii="Times New Roman" w:hAnsi="Times New Roman"/>
                <w:color w:themeColor="text1" w:val="000000"/>
                <w:kern w:val="0"/>
                <w:sz w:val="22"/>
                <w:szCs w:val="22"/>
                <w:lang w:val="ru-RU" w:eastAsia="en-US" w:bidi="ar-SA"/>
              </w:rPr>
              <w:t xml:space="preserve"> дефектов, ухудшающих результат работ, или иных недостатков (обнаружение вспучин, трещин, некачественной проварки металла, нарушения ГОСТа по сварным соединениям, дефектов и т.д.), Заказчик уведомляет об этом Исполнителя в целях их устранения.</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3. Исполнитель должен обеспечить срочное (выезд на объект в течение 24 ч.) выполнение работ по гарантийному обслуживанию оборудования.</w:t>
            </w:r>
          </w:p>
        </w:tc>
      </w:tr>
      <w:tr>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12</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Документация, предъявляемая Заказчику</w:t>
            </w:r>
          </w:p>
        </w:tc>
        <w:tc>
          <w:tcPr>
            <w:tcW w:w="596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Исполнитель предъявляет Заказчику</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1. Акт выполненных работ по форме КС-2, справка о стоимости выполненных работ по форме КС-3, акт выполненных работ по форме УПД, исполнительную документацию в текстовой части и графическом виде.</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3. Сертификаты и паспорта на двери оборудование (комплектующие) (копии направляются в электронном виде перед отгрузкой) от завода изготовителя.</w:t>
            </w:r>
          </w:p>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4. Руководство по эксплуатации, документацию по плановому ремонту (при необходимости его проведения).</w:t>
            </w:r>
          </w:p>
          <w:p>
            <w:pPr>
              <w:pStyle w:val="Normal"/>
              <w:widowControl/>
              <w:suppressAutoHyphens w:val="true"/>
              <w:spacing w:lineRule="auto" w:line="240" w:before="0" w:after="0"/>
              <w:jc w:val="both"/>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Вся предоставляемая документация должна быть на русском языке.</w:t>
            </w:r>
          </w:p>
          <w:p>
            <w:pPr>
              <w:pStyle w:val="Normal"/>
              <w:widowControl/>
              <w:suppressAutoHyphens w:val="true"/>
              <w:spacing w:lineRule="auto" w:line="240" w:before="0" w:after="0"/>
              <w:jc w:val="both"/>
              <w:rPr>
                <w:rFonts w:ascii="Calibri" w:hAnsi="Calibri" w:eastAsia="Calibri"/>
              </w:rPr>
            </w:pPr>
            <w:r>
              <w:rPr>
                <w:rFonts w:eastAsia="Calibri" w:cs="Times New Roman" w:ascii="Times New Roman" w:hAnsi="Times New Roman"/>
                <w:color w:themeColor="text1" w:val="000000"/>
                <w:kern w:val="0"/>
                <w:sz w:val="22"/>
                <w:szCs w:val="22"/>
                <w:lang w:val="ru-RU" w:eastAsia="en-US" w:bidi="ar-SA"/>
              </w:rPr>
              <w:t>5. Акты освидетельствования скрытых работ:</w:t>
            </w:r>
          </w:p>
          <w:p>
            <w:pPr>
              <w:pStyle w:val="Normal"/>
              <w:widowControl/>
              <w:suppressAutoHyphens w:val="true"/>
              <w:spacing w:lineRule="auto" w:line="240" w:before="0" w:after="0"/>
              <w:jc w:val="both"/>
              <w:rPr>
                <w:rFonts w:ascii="Calibri" w:hAnsi="Calibri" w:eastAsia="Calibri"/>
              </w:rPr>
            </w:pPr>
            <w:r>
              <w:rPr>
                <w:rFonts w:eastAsia="Calibri" w:cs="Times New Roman" w:ascii="Times New Roman" w:hAnsi="Times New Roman"/>
                <w:color w:themeColor="text1" w:val="000000"/>
                <w:kern w:val="0"/>
                <w:sz w:val="22"/>
                <w:szCs w:val="22"/>
                <w:lang w:val="ru-RU" w:eastAsia="en-US" w:bidi="ar-SA"/>
              </w:rPr>
              <w:t>-</w:t>
              <w:tab/>
              <w:t>на монтаж и крепление дверей;</w:t>
            </w:r>
          </w:p>
          <w:p>
            <w:pPr>
              <w:pStyle w:val="Normal"/>
              <w:widowControl/>
              <w:suppressAutoHyphens w:val="true"/>
              <w:spacing w:lineRule="auto" w:line="240" w:before="0" w:after="0"/>
              <w:jc w:val="both"/>
              <w:rPr>
                <w:rFonts w:ascii="Calibri" w:hAnsi="Calibri" w:eastAsia="Calibri"/>
              </w:rPr>
            </w:pPr>
            <w:r>
              <w:rPr>
                <w:rFonts w:eastAsia="Calibri" w:cs="Times New Roman" w:ascii="Times New Roman" w:hAnsi="Times New Roman"/>
                <w:color w:themeColor="text1" w:val="000000"/>
                <w:kern w:val="0"/>
                <w:sz w:val="22"/>
                <w:szCs w:val="22"/>
                <w:lang w:val="ru-RU" w:eastAsia="en-US" w:bidi="ar-SA"/>
              </w:rPr>
              <w:t>-</w:t>
              <w:tab/>
              <w:t>на устройство монтажного шва примыкания конструкций заполнения проемов.</w:t>
            </w:r>
          </w:p>
          <w:p>
            <w:pPr>
              <w:pStyle w:val="Normal"/>
              <w:widowControl/>
              <w:suppressAutoHyphens w:val="true"/>
              <w:spacing w:lineRule="auto" w:line="240" w:before="0" w:after="0"/>
              <w:jc w:val="both"/>
              <w:rPr>
                <w:rFonts w:ascii="Calibri" w:hAnsi="Calibri" w:eastAsia="Calibri"/>
              </w:rPr>
            </w:pPr>
            <w:r>
              <w:rPr>
                <w:rFonts w:eastAsia="Calibri" w:cs="Times New Roman" w:ascii="Times New Roman" w:hAnsi="Times New Roman"/>
                <w:color w:themeColor="text1" w:val="000000"/>
                <w:kern w:val="0"/>
                <w:sz w:val="22"/>
                <w:szCs w:val="22"/>
                <w:lang w:val="ru-RU" w:eastAsia="en-US" w:bidi="ar-SA"/>
              </w:rPr>
              <w:t>6. Паспорта и сертификаты пожарной безопасности на двери противопожарные.</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7. Документы о качестве на материалы крепления, материалы для устройства монтажных швов примыкания, доводчики.</w:t>
            </w:r>
          </w:p>
          <w:p>
            <w:pPr>
              <w:pStyle w:val="Normal"/>
              <w:widowControl/>
              <w:suppressAutoHyphens w:val="true"/>
              <w:spacing w:lineRule="auto" w:line="240"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8. Лицензия МЧС, выданная подрядной организации на выполнение работ по заполнению проемов в противопожарных преградах.</w:t>
            </w:r>
          </w:p>
          <w:p>
            <w:pPr>
              <w:pStyle w:val="Normal"/>
              <w:widowControl/>
              <w:suppressAutoHyphens w:val="true"/>
              <w:spacing w:lineRule="auto" w:line="240" w:before="0" w:after="0"/>
              <w:jc w:val="both"/>
              <w:rPr>
                <w:rFonts w:ascii="Times New Roman" w:hAnsi="Times New Roman" w:cs="Times New Roman"/>
                <w:color w:val="FF0000"/>
              </w:rPr>
            </w:pPr>
            <w:r>
              <w:rPr>
                <w:rFonts w:eastAsia="Calibri" w:cs="Times New Roman" w:ascii="Times New Roman" w:hAnsi="Times New Roman"/>
                <w:color w:themeColor="text1" w:val="000000"/>
                <w:kern w:val="0"/>
                <w:sz w:val="22"/>
                <w:szCs w:val="22"/>
                <w:lang w:val="ru-RU" w:eastAsia="en-US" w:bidi="ar-SA"/>
              </w:rPr>
              <w:t xml:space="preserve">9. </w:t>
            </w:r>
            <w:r>
              <w:rPr>
                <w:rFonts w:eastAsia="Calibri" w:cs="Times New Roman" w:ascii="Times New Roman" w:hAnsi="Times New Roman"/>
                <w:color w:themeColor="text1" w:val="000000"/>
                <w:kern w:val="0"/>
                <w:sz w:val="22"/>
                <w:szCs w:val="22"/>
                <w:shd w:fill="FFFFFF" w:val="clear"/>
                <w:lang w:val="ru-RU" w:eastAsia="en-US" w:bidi="ar-SA"/>
              </w:rPr>
              <w:t>Журнал проведения работ.</w:t>
            </w:r>
          </w:p>
        </w:tc>
      </w:tr>
      <w:tr>
        <w:trPr/>
        <w:tc>
          <w:tcPr>
            <w:tcW w:w="583"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13</w:t>
            </w:r>
          </w:p>
        </w:tc>
        <w:tc>
          <w:tcPr>
            <w:tcW w:w="2798" w:type="dxa"/>
            <w:tcBorders/>
          </w:tcPr>
          <w:p>
            <w:pPr>
              <w:pStyle w:val="Normal"/>
              <w:widowControl/>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Дополнительные требования</w:t>
            </w:r>
          </w:p>
        </w:tc>
        <w:tc>
          <w:tcPr>
            <w:tcW w:w="5964" w:type="dxa"/>
            <w:tcBorders/>
          </w:tcPr>
          <w:p>
            <w:pPr>
              <w:pStyle w:val="Normal"/>
              <w:widowControl/>
              <w:suppressAutoHyphens w:val="true"/>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Все дополнительные решения, обоюдно принимаемые Сторонами в процессе исполнения работ, оформляются письменно соответствующими документами.</w:t>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426" w:leader="none"/>
          <w:tab w:val="left" w:pos="6456" w:leader="none"/>
        </w:tabs>
        <w:spacing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center"/>
        <w:rPr>
          <w:rFonts w:ascii="Times New Roman" w:hAnsi="Times New Roman" w:cs="Times New Roman"/>
          <w:sz w:val="24"/>
          <w:szCs w:val="24"/>
        </w:rPr>
      </w:pPr>
      <w:r>
        <w:rPr>
          <w:rFonts w:cs="Times New Roman" w:ascii="Times New Roman" w:hAnsi="Times New Roman"/>
          <w:sz w:val="24"/>
          <w:szCs w:val="24"/>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4672"/>
      </w:tblGrid>
      <w:tr>
        <w:trPr/>
        <w:tc>
          <w:tcPr>
            <w:tcW w:w="4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Заказчик:</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b/>
                <w:sz w:val="23"/>
                <w:szCs w:val="23"/>
                <w:lang w:eastAsia="ru-RU"/>
              </w:rPr>
              <w:t>Директор</w:t>
            </w:r>
          </w:p>
          <w:p>
            <w:pPr>
              <w:pStyle w:val="Normal"/>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ООО</w:t>
            </w: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b/>
                <w:sz w:val="23"/>
                <w:szCs w:val="23"/>
                <w:lang w:eastAsia="ru-RU"/>
              </w:rPr>
              <w:t>«Управляющая компания</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b/>
                <w:sz w:val="23"/>
                <w:szCs w:val="23"/>
                <w:lang w:eastAsia="ru-RU"/>
              </w:rPr>
              <w:t>Инфраструктура Хакасии»</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____________________ Д.А. Пауль</w:t>
            </w:r>
          </w:p>
          <w:p>
            <w:pPr>
              <w:pStyle w:val="Normal"/>
              <w:tabs>
                <w:tab w:val="clear" w:pos="708"/>
                <w:tab w:val="left" w:pos="9072" w:leader="none"/>
              </w:tabs>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«____»_______________2026 г.</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Исполнитель:</w:t>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______________</w:t>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___________________</w:t>
            </w:r>
          </w:p>
          <w:p>
            <w:pPr>
              <w:pStyle w:val="Normal"/>
              <w:tabs>
                <w:tab w:val="clear" w:pos="708"/>
                <w:tab w:val="left" w:pos="9072"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«____»_______________2026 г.</w:t>
            </w:r>
          </w:p>
        </w:tc>
      </w:tr>
    </w:tbl>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Приложение №2 к Договору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изготовление, поставку и монтаж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дверей промышленной серии  </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________ от «___»_______2026 г.</w:t>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Ведомость объемов работ</w:t>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Приложение №3 к Договору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изготовление, поставку и монтаж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дверей промышленной серии  </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________ от «___»_______2026 г.</w:t>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426" w:leader="none"/>
          <w:tab w:val="left" w:pos="1276" w:leader="none"/>
          <w:tab w:val="left" w:pos="6456" w:leader="none"/>
        </w:tabs>
        <w:spacing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Схема расположения дверей</w:t>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Приложение №4 к Договору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изготовление, поставку и монтаж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дверей промышленной серии  </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________ от «___»_______2026 г.</w:t>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СМЕТА</w:t>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Приложение №5 к Договору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изготовление, поставку и монтаж </w:t>
      </w:r>
    </w:p>
    <w:p>
      <w:pPr>
        <w:pStyle w:val="Normal"/>
        <w:tabs>
          <w:tab w:val="clear" w:pos="708"/>
          <w:tab w:val="left" w:pos="426" w:leader="none"/>
          <w:tab w:val="left" w:pos="6456" w:leader="none"/>
        </w:tabs>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 xml:space="preserve">дверей промышленной серии  </w:t>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________ от «___»_______2026 г.</w:t>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tabs>
          <w:tab w:val="clear" w:pos="708"/>
          <w:tab w:val="left" w:pos="5589" w:leader="none"/>
        </w:tabs>
        <w:spacing w:lineRule="auto" w:line="276"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Акта</w:t>
      </w:r>
    </w:p>
    <w:p>
      <w:pPr>
        <w:pStyle w:val="Normal"/>
        <w:tabs>
          <w:tab w:val="clear" w:pos="708"/>
          <w:tab w:val="left" w:pos="5589" w:leader="none"/>
        </w:tabs>
        <w:spacing w:lineRule="auto" w:line="276"/>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 xml:space="preserve">строительной готовности </w:t>
      </w:r>
      <w:r>
        <w:rPr>
          <w:rFonts w:cs="Times New Roman" w:ascii="Times New Roman" w:hAnsi="Times New Roman"/>
          <w:b/>
          <w:color w:themeColor="text1" w:val="000000"/>
          <w:sz w:val="24"/>
          <w:szCs w:val="24"/>
          <w:shd w:fill="FFFFFF" w:val="clear"/>
        </w:rPr>
        <w:t>помещений  здания</w:t>
      </w:r>
      <w:r>
        <w:rPr>
          <w:rFonts w:cs="Times New Roman" w:ascii="Times New Roman" w:hAnsi="Times New Roman"/>
          <w:b/>
          <w:color w:themeColor="text1" w:val="000000"/>
          <w:sz w:val="24"/>
          <w:szCs w:val="24"/>
        </w:rPr>
        <w:t xml:space="preserve"> «Агропромышленный парк «Черногорский», строящегося по адресу: </w:t>
      </w:r>
      <w:r>
        <w:rPr>
          <w:rFonts w:cs="Times New Roman" w:ascii="Times New Roman" w:hAnsi="Times New Roman"/>
          <w:b/>
          <w:sz w:val="24"/>
          <w:szCs w:val="24"/>
        </w:rPr>
        <w:t xml:space="preserve">Республика Хакасия, город Черногорск, в районе комбината «Залив», промышленный парк «Черногорский», участок 13. Кадастровый номер: 19:02:010202:873, </w:t>
      </w:r>
      <w:r>
        <w:rPr>
          <w:rFonts w:cs="Times New Roman" w:ascii="Times New Roman" w:hAnsi="Times New Roman"/>
          <w:b/>
          <w:color w:themeColor="text1" w:val="000000"/>
          <w:sz w:val="24"/>
          <w:szCs w:val="24"/>
        </w:rPr>
        <w:t xml:space="preserve">к производству монтажных работ </w:t>
      </w:r>
    </w:p>
    <w:p>
      <w:pPr>
        <w:pStyle w:val="Normal"/>
        <w:tabs>
          <w:tab w:val="clear" w:pos="708"/>
          <w:tab w:val="left" w:pos="5589"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г. Черногорск                                                                                                «__»__________2027г.  </w:t>
      </w:r>
    </w:p>
    <w:p>
      <w:pPr>
        <w:pStyle w:val="Normal"/>
        <w:tabs>
          <w:tab w:val="clear" w:pos="708"/>
          <w:tab w:val="left" w:pos="5589" w:leader="none"/>
        </w:tabs>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Комиссия в составе представителей:</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Представитель(ли)</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застройщика/заказчика ООО «УК Инфраструктура Хакасии» 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Представитель(ли) лица, осуществляющего строительство (Генерального подрядчика) ООО «Квартирный вопрос» 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Представитель (ли) лица, осуществляющего строительный контроль ООО «Контроль»___ 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Представитель(ли) лица, осуществляющего функции Технического заказчика ООО «Контроль» 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Представитель (ли) лица, осуществляющего монтаж дверей ____ «_____________»______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__________________________________________________________________________________________________________________________________________________________</w:t>
      </w:r>
    </w:p>
    <w:p>
      <w:pPr>
        <w:pStyle w:val="Normal"/>
        <w:tabs>
          <w:tab w:val="clear" w:pos="708"/>
          <w:tab w:val="left" w:pos="5589" w:leader="none"/>
        </w:tabs>
        <w:spacing w:lineRule="auto" w:line="276" w:before="0" w:after="0"/>
        <w:jc w:val="center"/>
        <w:rPr>
          <w:rFonts w:ascii="Times New Roman" w:hAnsi="Times New Roman" w:cs="Times New Roman"/>
          <w:sz w:val="20"/>
          <w:szCs w:val="20"/>
        </w:rPr>
      </w:pP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а также лица, дополнительно участвующие в приемки строительной готовности строящегося объекта капитального строительства «Агропромышленный парк «Черногорский»_______________________________________________________________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__________________________________________________________________________________________________________________________________________________________</w:t>
      </w:r>
    </w:p>
    <w:p>
      <w:pPr>
        <w:pStyle w:val="Normal"/>
        <w:tabs>
          <w:tab w:val="clear" w:pos="708"/>
          <w:tab w:val="left" w:pos="5589" w:leader="none"/>
        </w:tabs>
        <w:spacing w:lineRule="auto" w:line="276" w:before="0" w:after="0"/>
        <w:jc w:val="center"/>
        <w:rPr>
          <w:rFonts w:ascii="Times New Roman" w:hAnsi="Times New Roman" w:cs="Times New Roman"/>
          <w:sz w:val="20"/>
          <w:szCs w:val="20"/>
        </w:rPr>
      </w:pPr>
      <w:r>
        <w:rPr>
          <w:rFonts w:cs="Times New Roman" w:ascii="Times New Roman" w:hAnsi="Times New Roman"/>
          <w:sz w:val="20"/>
          <w:szCs w:val="20"/>
        </w:rPr>
        <w:t>(наименование организации, 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произвела осмотр помещений и проверку качества работ, выполненных Генеральным подрядчиком ООО «Квартирный вопрос» и составила настоящий акт о нижеследующем:</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1. К приемке предъявлены:</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 xml:space="preserve">2. Работы выполнены по проекту «Агропромышленный парк «Черногорский», разработанному проектной организацией ООО «Экспертиза недвижимости». </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3"/>
        </w:numPr>
        <w:tabs>
          <w:tab w:val="clear" w:pos="708"/>
          <w:tab w:val="left" w:pos="5589" w:leader="none"/>
        </w:tabs>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t>Решение комиссии:</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Работы соответствуют/ не соответствуют проекту, стандартам, строительным нормам и</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правилам.</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Предъявленные к приемке 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приняты с оценкой качества выполненных работ ___________________________________</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jc w:val="center"/>
        <w:rPr>
          <w:rFonts w:ascii="Times New Roman" w:hAnsi="Times New Roman" w:cs="Times New Roman"/>
          <w:sz w:val="20"/>
          <w:szCs w:val="20"/>
        </w:rPr>
      </w:pPr>
      <w:r>
        <w:rPr>
          <w:rFonts w:cs="Times New Roman" w:ascii="Times New Roman" w:hAnsi="Times New Roman"/>
          <w:sz w:val="20"/>
          <w:szCs w:val="20"/>
        </w:rPr>
        <w:t>(отлично, хорошо, удовлетворительно)</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Имеются следующие замечания: 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Предложения по устранению: ___________________________________________________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__________________________________________________________________________________________________________________________________________________________</w:t>
      </w:r>
    </w:p>
    <w:p>
      <w:pPr>
        <w:pStyle w:val="Normal"/>
        <w:tabs>
          <w:tab w:val="clear" w:pos="708"/>
          <w:tab w:val="left" w:pos="5589" w:leader="none"/>
        </w:tabs>
        <w:spacing w:lineRule="auto" w:line="276"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На основании изложенного, производство последующих работ по монтажу 21 (двадцати одной) двери промышленной серии (далее – Двери) для охлаждаемых помещений</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w:t>
      </w:r>
    </w:p>
    <w:p>
      <w:pPr>
        <w:pStyle w:val="Normal"/>
        <w:tabs>
          <w:tab w:val="clear" w:pos="708"/>
          <w:tab w:val="left" w:pos="5589" w:leader="none"/>
        </w:tabs>
        <w:spacing w:lineRule="auto" w:line="276" w:before="0" w:after="0"/>
        <w:jc w:val="center"/>
        <w:rPr>
          <w:rFonts w:ascii="Times New Roman" w:hAnsi="Times New Roman" w:cs="Times New Roman"/>
          <w:sz w:val="20"/>
          <w:szCs w:val="20"/>
        </w:rPr>
      </w:pPr>
      <w:r>
        <w:rPr>
          <w:rFonts w:cs="Times New Roman" w:ascii="Times New Roman" w:hAnsi="Times New Roman"/>
          <w:sz w:val="20"/>
          <w:szCs w:val="20"/>
        </w:rPr>
        <w:t xml:space="preserve">(разрешается/не разрешается) </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Комиссия в составе представителей:</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Представитель(ли)</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застройщика/заказчика ООО «УК Инфраструктура Хакасии»:</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 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 xml:space="preserve">Представитель(ли) лица, осуществляющего строительство (Генерального подрядчика) ООО «Квартирный вопрос»: </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 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Представитель (ли) лица, осуществляющего строительный контроль ООО «Контроль»: 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 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5589" w:leader="none"/>
        </w:tabs>
        <w:spacing w:lineRule="auto" w:line="276" w:before="0" w:after="0"/>
        <w:jc w:val="both"/>
        <w:rPr>
          <w:rFonts w:ascii="Times New Roman" w:hAnsi="Times New Roman" w:cs="Times New Roman"/>
          <w:sz w:val="20"/>
          <w:szCs w:val="20"/>
        </w:rPr>
      </w:pPr>
      <w:r>
        <w:rPr>
          <w:rFonts w:cs="Times New Roman" w:ascii="Times New Roman" w:hAnsi="Times New Roman"/>
          <w:sz w:val="24"/>
          <w:szCs w:val="24"/>
        </w:rPr>
        <w:t xml:space="preserve">Представитель(ли) лица, осуществляющего функции Технического заказчика ООО «Контроль»: </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 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Представитель (ли) лица, осуществляющего монтаж дверей,</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 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t>Лица, дополнительно участвующие в приемки строительной готовности,</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_________________________/ ______________________________________</w:t>
      </w:r>
    </w:p>
    <w:p>
      <w:pPr>
        <w:pStyle w:val="Normal"/>
        <w:tabs>
          <w:tab w:val="clear" w:pos="708"/>
          <w:tab w:val="left" w:pos="5589" w:leader="none"/>
        </w:tabs>
        <w:spacing w:lineRule="auto" w:line="276" w:before="0" w:after="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(подпись)</w:t>
      </w:r>
      <w:r>
        <w:rPr>
          <w:rFonts w:cs="Times New Roman" w:ascii="Times New Roman" w:hAnsi="Times New Roman"/>
          <w:sz w:val="24"/>
          <w:szCs w:val="24"/>
        </w:rPr>
        <w:t xml:space="preserve">                                            </w:t>
      </w:r>
      <w:r>
        <w:rPr>
          <w:rFonts w:cs="Times New Roman" w:ascii="Times New Roman" w:hAnsi="Times New Roman"/>
          <w:sz w:val="20"/>
          <w:szCs w:val="20"/>
        </w:rPr>
        <w:t>(должность, фамилия, инициалы)</w:t>
      </w:r>
    </w:p>
    <w:p>
      <w:pPr>
        <w:pStyle w:val="Normal"/>
        <w:tabs>
          <w:tab w:val="clear" w:pos="708"/>
          <w:tab w:val="left" w:pos="5589" w:leader="none"/>
        </w:tabs>
        <w:spacing w:lineRule="auto" w:line="276" w:before="0" w:after="0"/>
        <w:rPr>
          <w:rFonts w:ascii="Times New Roman" w:hAnsi="Times New Roman" w:cs="Times New Roman"/>
          <w:b/>
          <w:sz w:val="24"/>
          <w:szCs w:val="24"/>
        </w:rPr>
      </w:pPr>
      <w:r>
        <w:rPr>
          <w:rFonts w:cs="Times New Roman" w:ascii="Times New Roman" w:hAnsi="Times New Roman"/>
          <w:b/>
          <w:sz w:val="24"/>
          <w:szCs w:val="24"/>
        </w:rPr>
        <w:t xml:space="preserve">ФОРМА СОГЛАСОВАНА: </w:t>
      </w:r>
    </w:p>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4672"/>
      </w:tblGrid>
      <w:tr>
        <w:trPr/>
        <w:tc>
          <w:tcPr>
            <w:tcW w:w="4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Заказчик:</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b/>
                <w:sz w:val="23"/>
                <w:szCs w:val="23"/>
                <w:lang w:eastAsia="ru-RU"/>
              </w:rPr>
              <w:t>Директор</w:t>
            </w:r>
          </w:p>
          <w:p>
            <w:pPr>
              <w:pStyle w:val="Normal"/>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ООО</w:t>
            </w: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b/>
                <w:sz w:val="23"/>
                <w:szCs w:val="23"/>
                <w:lang w:eastAsia="ru-RU"/>
              </w:rPr>
              <w:t>«Управляющая компания</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b/>
                <w:sz w:val="23"/>
                <w:szCs w:val="23"/>
                <w:lang w:eastAsia="ru-RU"/>
              </w:rPr>
              <w:t>Инфраструктура Хакасии»</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____________________ Д.А. Пауль</w:t>
            </w:r>
          </w:p>
          <w:p>
            <w:pPr>
              <w:pStyle w:val="Normal"/>
              <w:tabs>
                <w:tab w:val="clear" w:pos="708"/>
                <w:tab w:val="left" w:pos="9072" w:leader="none"/>
              </w:tabs>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«____»_______________2026 г.</w:t>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Исполнитель:</w:t>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t>______________</w:t>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b/>
                <w:sz w:val="23"/>
                <w:szCs w:val="23"/>
                <w:lang w:eastAsia="ru-RU"/>
              </w:rPr>
            </w:pPr>
            <w:r>
              <w:rPr>
                <w:rFonts w:eastAsia="Times New Roman" w:cs="Times New Roman" w:ascii="Times New Roman" w:hAnsi="Times New Roman"/>
                <w:b/>
                <w:sz w:val="23"/>
                <w:szCs w:val="23"/>
                <w:lang w:eastAsia="ru-RU"/>
              </w:rPr>
            </w:r>
          </w:p>
          <w:p>
            <w:pPr>
              <w:pStyle w:val="Normal"/>
              <w:tabs>
                <w:tab w:val="clear" w:pos="708"/>
                <w:tab w:val="left" w:pos="4122" w:leader="none"/>
              </w:tabs>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___________________</w:t>
            </w:r>
          </w:p>
          <w:p>
            <w:pPr>
              <w:pStyle w:val="Normal"/>
              <w:tabs>
                <w:tab w:val="clear" w:pos="708"/>
                <w:tab w:val="left" w:pos="9072"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3"/>
                <w:szCs w:val="23"/>
                <w:lang w:eastAsia="ru-RU"/>
              </w:rPr>
              <w:t>«____»_______________2026 г.</w:t>
            </w:r>
          </w:p>
        </w:tc>
      </w:tr>
    </w:tbl>
    <w:p>
      <w:pPr>
        <w:pStyle w:val="Normal"/>
        <w:tabs>
          <w:tab w:val="clear" w:pos="708"/>
          <w:tab w:val="left" w:pos="5589"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426" w:leader="none"/>
          <w:tab w:val="left" w:pos="6456" w:leader="none"/>
        </w:tabs>
        <w:spacing w:before="0" w:after="0"/>
        <w:ind w:firstLine="709"/>
        <w:jc w:val="right"/>
        <w:rPr>
          <w:rFonts w:ascii="Times New Roman" w:hAnsi="Times New Roman" w:cs="Times New Roman"/>
          <w:strike/>
          <w:sz w:val="24"/>
          <w:szCs w:val="24"/>
          <w:highlight w:val="red"/>
        </w:rPr>
      </w:pPr>
      <w:r>
        <w:rPr>
          <w:rFonts w:cs="Times New Roman" w:ascii="Times New Roman" w:hAnsi="Times New Roman"/>
          <w:strike/>
          <w:sz w:val="24"/>
          <w:szCs w:val="24"/>
          <w:highlight w:val="red"/>
        </w:rPr>
      </w:r>
    </w:p>
    <w:sectPr>
      <w:headerReference w:type="default" r:id="rId5"/>
      <w:type w:val="nextPage"/>
      <w:pgSz w:w="11906" w:h="16838"/>
      <w:pgMar w:left="1701" w:right="850" w:gutter="0" w:header="708" w:top="993" w:footer="0" w:bottom="1134"/>
      <w:pgNumType w:fmt="decimal"/>
      <w:formProt w:val="false"/>
      <w:titlePg/>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Courier New">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64816781"/>
    </w:sdtPr>
    <w:sdtContent>
      <w:p>
        <w:pPr>
          <w:pStyle w:val="Header"/>
          <w:jc w:val="center"/>
          <w:rPr/>
        </w:pPr>
        <w:r>
          <w:rPr/>
          <w:fldChar w:fldCharType="begin"/>
        </w:r>
        <w:r>
          <w:rPr/>
          <w:instrText xml:space="preserve"> PAGE </w:instrText>
        </w:r>
        <w:r>
          <w:rPr/>
          <w:fldChar w:fldCharType="separate"/>
        </w:r>
        <w:r>
          <w:rPr/>
          <w:t>4</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decimal"/>
      <w:lvlText w:val="%1."/>
      <w:lvlJc w:val="left"/>
      <w:pPr>
        <w:tabs>
          <w:tab w:val="num" w:pos="0"/>
        </w:tabs>
        <w:ind w:left="360" w:hanging="360"/>
      </w:pPr>
      <w:rPr/>
    </w:lvl>
    <w:lvl w:ilvl="1">
      <w:start w:val="1"/>
      <w:numFmt w:val="decimal"/>
      <w:lvlText w:val="%1.%2."/>
      <w:lvlJc w:val="left"/>
      <w:pPr>
        <w:tabs>
          <w:tab w:val="num" w:pos="0"/>
        </w:tabs>
        <w:ind w:left="1920" w:hanging="360"/>
      </w:pPr>
      <w:rPr>
        <w:sz w:val="24"/>
        <w:szCs w:val="24"/>
        <w:rFonts w:ascii="Times New Roman" w:hAnsi="Times New Roman" w:cs="Times New Roman"/>
      </w:rPr>
    </w:lvl>
    <w:lvl w:ilvl="2">
      <w:start w:val="1"/>
      <w:numFmt w:val="decimal"/>
      <w:lvlText w:val="%3)"/>
      <w:lvlJc w:val="left"/>
      <w:pPr>
        <w:tabs>
          <w:tab w:val="num" w:pos="0"/>
        </w:tabs>
        <w:ind w:left="2858" w:hanging="720"/>
      </w:pPr>
      <w:rPr>
        <w:rFonts w:ascii="Times New Roman" w:hAnsi="Times New Roman" w:eastAsia="Times New Roman" w:cs="Times New Roman"/>
      </w:rPr>
    </w:lvl>
    <w:lvl w:ilvl="3">
      <w:start w:val="1"/>
      <w:numFmt w:val="decimal"/>
      <w:lvlText w:val="%1.%2.%3.%4."/>
      <w:lvlJc w:val="left"/>
      <w:pPr>
        <w:tabs>
          <w:tab w:val="num" w:pos="0"/>
        </w:tabs>
        <w:ind w:left="3927" w:hanging="720"/>
      </w:pPr>
      <w:rPr/>
    </w:lvl>
    <w:lvl w:ilvl="4">
      <w:start w:val="1"/>
      <w:numFmt w:val="decimal"/>
      <w:lvlText w:val="%1.%2.%3.%4.%5."/>
      <w:lvlJc w:val="left"/>
      <w:pPr>
        <w:tabs>
          <w:tab w:val="num" w:pos="0"/>
        </w:tabs>
        <w:ind w:left="5356" w:hanging="1080"/>
      </w:pPr>
      <w:rPr/>
    </w:lvl>
    <w:lvl w:ilvl="5">
      <w:start w:val="1"/>
      <w:numFmt w:val="decimal"/>
      <w:lvlText w:val="%1.%2.%3.%4.%5.%6."/>
      <w:lvlJc w:val="left"/>
      <w:pPr>
        <w:tabs>
          <w:tab w:val="num" w:pos="0"/>
        </w:tabs>
        <w:ind w:left="6425" w:hanging="1080"/>
      </w:pPr>
      <w:rPr/>
    </w:lvl>
    <w:lvl w:ilvl="6">
      <w:start w:val="1"/>
      <w:numFmt w:val="decimal"/>
      <w:lvlText w:val="%1.%2.%3.%4.%5.%6.%7."/>
      <w:lvlJc w:val="left"/>
      <w:pPr>
        <w:tabs>
          <w:tab w:val="num" w:pos="0"/>
        </w:tabs>
        <w:ind w:left="7854" w:hanging="1440"/>
      </w:pPr>
      <w:rPr/>
    </w:lvl>
    <w:lvl w:ilvl="7">
      <w:start w:val="1"/>
      <w:numFmt w:val="decimal"/>
      <w:lvlText w:val="%1.%2.%3.%4.%5.%6.%7.%8."/>
      <w:lvlJc w:val="left"/>
      <w:pPr>
        <w:tabs>
          <w:tab w:val="num" w:pos="0"/>
        </w:tabs>
        <w:ind w:left="8923" w:hanging="1440"/>
      </w:pPr>
      <w:rPr/>
    </w:lvl>
    <w:lvl w:ilvl="8">
      <w:start w:val="1"/>
      <w:numFmt w:val="decimal"/>
      <w:lvlText w:val="%1.%2.%3.%4.%5.%6.%7.%8.%9."/>
      <w:lvlJc w:val="left"/>
      <w:pPr>
        <w:tabs>
          <w:tab w:val="num" w:pos="0"/>
        </w:tabs>
        <w:ind w:left="10352" w:hanging="1800"/>
      </w:pPr>
      <w:r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1211" w:hanging="36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
    <w:lvl w:ilvl="0">
      <w:start w:val="2"/>
      <w:numFmt w:val="decimal"/>
      <w:lvlText w:val="%1."/>
      <w:lvlJc w:val="left"/>
      <w:pPr>
        <w:tabs>
          <w:tab w:val="num" w:pos="0"/>
        </w:tabs>
        <w:ind w:left="540" w:hanging="540"/>
      </w:pPr>
      <w:rPr>
        <w:sz w:val="24"/>
        <w:rFonts w:ascii="Times New Roman" w:hAnsi="Times New Roman" w:eastAsia="Times New Roman" w:cs="Times New Roman"/>
      </w:rPr>
    </w:lvl>
    <w:lvl w:ilvl="1">
      <w:start w:val="1"/>
      <w:numFmt w:val="decimal"/>
      <w:lvlText w:val="%1.%2."/>
      <w:lvlJc w:val="left"/>
      <w:pPr>
        <w:tabs>
          <w:tab w:val="num" w:pos="0"/>
        </w:tabs>
        <w:ind w:left="894" w:hanging="540"/>
      </w:pPr>
      <w:rPr>
        <w:sz w:val="24"/>
        <w:b w:val="false"/>
        <w:rFonts w:ascii="Times New Roman" w:hAnsi="Times New Roman" w:eastAsia="Times New Roman" w:cs="Times New Roman"/>
      </w:rPr>
    </w:lvl>
    <w:lvl w:ilvl="2">
      <w:start w:val="1"/>
      <w:numFmt w:val="decimal"/>
      <w:lvlText w:val="%3."/>
      <w:lvlJc w:val="left"/>
      <w:pPr>
        <w:tabs>
          <w:tab w:val="num" w:pos="0"/>
        </w:tabs>
        <w:ind w:left="1571" w:hanging="720"/>
      </w:pPr>
      <w:rPr>
        <w:sz w:val="24"/>
        <w:b w:val="false"/>
        <w:rFonts w:ascii="Times New Roman" w:hAnsi="Times New Roman" w:eastAsia="Times New Roman" w:cs="Times New Roman"/>
      </w:rPr>
    </w:lvl>
    <w:lvl w:ilvl="3">
      <w:start w:val="1"/>
      <w:numFmt w:val="decimal"/>
      <w:lvlText w:val="%1.%2.%3.%4."/>
      <w:lvlJc w:val="left"/>
      <w:pPr>
        <w:tabs>
          <w:tab w:val="num" w:pos="0"/>
        </w:tabs>
        <w:ind w:left="1782" w:hanging="720"/>
      </w:pPr>
      <w:rPr>
        <w:sz w:val="24"/>
        <w:rFonts w:ascii="Times New Roman" w:hAnsi="Times New Roman" w:eastAsia="Times New Roman" w:cs="Times New Roman"/>
      </w:rPr>
    </w:lvl>
    <w:lvl w:ilvl="4">
      <w:start w:val="1"/>
      <w:numFmt w:val="decimal"/>
      <w:lvlText w:val="%1.%2.%3.%4.%5."/>
      <w:lvlJc w:val="left"/>
      <w:pPr>
        <w:tabs>
          <w:tab w:val="num" w:pos="0"/>
        </w:tabs>
        <w:ind w:left="2496" w:hanging="1080"/>
      </w:pPr>
      <w:rPr>
        <w:sz w:val="24"/>
        <w:rFonts w:ascii="Times New Roman" w:hAnsi="Times New Roman" w:eastAsia="Times New Roman" w:cs="Times New Roman"/>
      </w:rPr>
    </w:lvl>
    <w:lvl w:ilvl="5">
      <w:start w:val="1"/>
      <w:numFmt w:val="decimal"/>
      <w:lvlText w:val="%1.%2.%3.%4.%5.%6."/>
      <w:lvlJc w:val="left"/>
      <w:pPr>
        <w:tabs>
          <w:tab w:val="num" w:pos="0"/>
        </w:tabs>
        <w:ind w:left="2850" w:hanging="1080"/>
      </w:pPr>
      <w:rPr>
        <w:sz w:val="24"/>
        <w:rFonts w:ascii="Times New Roman" w:hAnsi="Times New Roman" w:eastAsia="Times New Roman" w:cs="Times New Roman"/>
      </w:rPr>
    </w:lvl>
    <w:lvl w:ilvl="6">
      <w:start w:val="1"/>
      <w:numFmt w:val="decimal"/>
      <w:lvlText w:val="%1.%2.%3.%4.%5.%6.%7."/>
      <w:lvlJc w:val="left"/>
      <w:pPr>
        <w:tabs>
          <w:tab w:val="num" w:pos="0"/>
        </w:tabs>
        <w:ind w:left="3564" w:hanging="1440"/>
      </w:pPr>
      <w:rPr>
        <w:sz w:val="24"/>
        <w:rFonts w:ascii="Times New Roman" w:hAnsi="Times New Roman" w:eastAsia="Times New Roman" w:cs="Times New Roman"/>
      </w:rPr>
    </w:lvl>
    <w:lvl w:ilvl="7">
      <w:start w:val="1"/>
      <w:numFmt w:val="decimal"/>
      <w:lvlText w:val="%1.%2.%3.%4.%5.%6.%7.%8."/>
      <w:lvlJc w:val="left"/>
      <w:pPr>
        <w:tabs>
          <w:tab w:val="num" w:pos="0"/>
        </w:tabs>
        <w:ind w:left="3918" w:hanging="1440"/>
      </w:pPr>
      <w:rPr>
        <w:sz w:val="24"/>
        <w:rFonts w:ascii="Times New Roman" w:hAnsi="Times New Roman" w:eastAsia="Times New Roman" w:cs="Times New Roman"/>
      </w:rPr>
    </w:lvl>
    <w:lvl w:ilvl="8">
      <w:start w:val="1"/>
      <w:numFmt w:val="decimal"/>
      <w:lvlText w:val="%1.%2.%3.%4.%5.%6.%7.%8.%9."/>
      <w:lvlJc w:val="left"/>
      <w:pPr>
        <w:tabs>
          <w:tab w:val="num" w:pos="0"/>
        </w:tabs>
        <w:ind w:left="4632" w:hanging="1800"/>
      </w:pPr>
      <w:rPr>
        <w:sz w:val="24"/>
        <w:rFonts w:ascii="Times New Roman" w:hAnsi="Times New Roman" w:eastAsia="Times New Roman" w:cs="Times New Roman"/>
      </w:rPr>
    </w:lvl>
  </w:abstractNum>
  <w:abstractNum w:abstractNumId="4">
    <w:lvl w:ilvl="0">
      <w:start w:val="1"/>
      <w:numFmt w:val="decimal"/>
      <w:lvlText w:val="%1."/>
      <w:lvlJc w:val="left"/>
      <w:pPr>
        <w:tabs>
          <w:tab w:val="num" w:pos="0"/>
        </w:tabs>
        <w:ind w:left="1069" w:hanging="360"/>
      </w:pPr>
      <w:rPr>
        <w:b/>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5">
    <w:lvl w:ilvl="0">
      <w:start w:val="5"/>
      <w:numFmt w:val="decimal"/>
      <w:lvlText w:val="%1."/>
      <w:lvlJc w:val="left"/>
      <w:pPr>
        <w:tabs>
          <w:tab w:val="num" w:pos="0"/>
        </w:tabs>
        <w:ind w:left="360" w:hanging="360"/>
      </w:pPr>
      <w:rPr>
        <w:rFonts w:eastAsia="Calibri" w:eastAsiaTheme="minorHAnsi"/>
      </w:rPr>
    </w:lvl>
    <w:lvl w:ilvl="1">
      <w:start w:val="1"/>
      <w:numFmt w:val="decimal"/>
      <w:lvlText w:val="%1.%2."/>
      <w:lvlJc w:val="left"/>
      <w:pPr>
        <w:tabs>
          <w:tab w:val="num" w:pos="0"/>
        </w:tabs>
        <w:ind w:left="2346" w:hanging="360"/>
      </w:pPr>
      <w:rPr>
        <w:sz w:val="24"/>
        <w:b w:val="false"/>
        <w:szCs w:val="24"/>
        <w:rFonts w:ascii="Times New Roman" w:hAnsi="Times New Roman" w:eastAsia="Calibri" w:cs="Times New Roman" w:eastAsiaTheme="minorHAnsi"/>
      </w:rPr>
    </w:lvl>
    <w:lvl w:ilvl="2">
      <w:start w:val="1"/>
      <w:numFmt w:val="decimal"/>
      <w:lvlText w:val="%1.%2.%3."/>
      <w:lvlJc w:val="left"/>
      <w:pPr>
        <w:tabs>
          <w:tab w:val="num" w:pos="0"/>
        </w:tabs>
        <w:ind w:left="2138" w:hanging="720"/>
      </w:pPr>
      <w:rPr>
        <w:rFonts w:ascii="Times New Roman" w:hAnsi="Times New Roman" w:eastAsia="Calibri" w:cs="Times New Roman" w:eastAsiaTheme="minorHAnsi"/>
      </w:rPr>
    </w:lvl>
    <w:lvl w:ilvl="3">
      <w:start w:val="1"/>
      <w:numFmt w:val="decimal"/>
      <w:lvlText w:val="%1.%2.%3.%4."/>
      <w:lvlJc w:val="left"/>
      <w:pPr>
        <w:tabs>
          <w:tab w:val="num" w:pos="0"/>
        </w:tabs>
        <w:ind w:left="2847" w:hanging="720"/>
      </w:pPr>
      <w:rPr>
        <w:rFonts w:eastAsia="Calibri" w:eastAsiaTheme="minorHAnsi"/>
      </w:rPr>
    </w:lvl>
    <w:lvl w:ilvl="4">
      <w:start w:val="1"/>
      <w:numFmt w:val="decimal"/>
      <w:lvlText w:val="%1.%2.%3.%4.%5."/>
      <w:lvlJc w:val="left"/>
      <w:pPr>
        <w:tabs>
          <w:tab w:val="num" w:pos="0"/>
        </w:tabs>
        <w:ind w:left="3916" w:hanging="1080"/>
      </w:pPr>
      <w:rPr>
        <w:rFonts w:eastAsia="Calibri" w:eastAsiaTheme="minorHAnsi"/>
      </w:rPr>
    </w:lvl>
    <w:lvl w:ilvl="5">
      <w:start w:val="1"/>
      <w:numFmt w:val="decimal"/>
      <w:lvlText w:val="%1.%2.%3.%4.%5.%6."/>
      <w:lvlJc w:val="left"/>
      <w:pPr>
        <w:tabs>
          <w:tab w:val="num" w:pos="0"/>
        </w:tabs>
        <w:ind w:left="4625" w:hanging="1080"/>
      </w:pPr>
      <w:rPr>
        <w:rFonts w:eastAsia="Calibri" w:eastAsiaTheme="minorHAnsi"/>
      </w:rPr>
    </w:lvl>
    <w:lvl w:ilvl="6">
      <w:start w:val="1"/>
      <w:numFmt w:val="decimal"/>
      <w:lvlText w:val="%1.%2.%3.%4.%5.%6.%7."/>
      <w:lvlJc w:val="left"/>
      <w:pPr>
        <w:tabs>
          <w:tab w:val="num" w:pos="0"/>
        </w:tabs>
        <w:ind w:left="5694" w:hanging="1440"/>
      </w:pPr>
      <w:rPr>
        <w:rFonts w:eastAsia="Calibri" w:eastAsiaTheme="minorHAnsi"/>
      </w:rPr>
    </w:lvl>
    <w:lvl w:ilvl="7">
      <w:start w:val="1"/>
      <w:numFmt w:val="decimal"/>
      <w:lvlText w:val="%1.%2.%3.%4.%5.%6.%7.%8."/>
      <w:lvlJc w:val="left"/>
      <w:pPr>
        <w:tabs>
          <w:tab w:val="num" w:pos="0"/>
        </w:tabs>
        <w:ind w:left="6403" w:hanging="1440"/>
      </w:pPr>
      <w:rPr>
        <w:rFonts w:eastAsia="Calibri" w:eastAsiaTheme="minorHAnsi"/>
      </w:rPr>
    </w:lvl>
    <w:lvl w:ilvl="8">
      <w:start w:val="1"/>
      <w:numFmt w:val="decimal"/>
      <w:lvlText w:val="%1.%2.%3.%4.%5.%6.%7.%8.%9."/>
      <w:lvlJc w:val="left"/>
      <w:pPr>
        <w:tabs>
          <w:tab w:val="num" w:pos="0"/>
        </w:tabs>
        <w:ind w:left="7472" w:hanging="1800"/>
      </w:pPr>
      <w:rPr>
        <w:rFonts w:eastAsia="Calibri" w:eastAsiaTheme="minorHAnsi"/>
      </w:rPr>
    </w:lvl>
  </w:abstractNum>
  <w:abstractNum w:abstractNumId="6">
    <w:lvl w:ilvl="0">
      <w:start w:val="8"/>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color w:val="auto"/>
      </w:rPr>
    </w:lvl>
    <w:lvl w:ilvl="1">
      <w:start w:val="1"/>
      <w:numFmt w:val="decimal"/>
      <w:lvlText w:val="%1.%2."/>
      <w:lvlJc w:val="left"/>
      <w:pPr>
        <w:tabs>
          <w:tab w:val="num" w:pos="0"/>
        </w:tabs>
        <w:ind w:left="1212" w:hanging="360"/>
      </w:pPr>
      <w:rPr>
        <w:sz w:val="24"/>
        <w:szCs w:val="24"/>
        <w:color w:themeColor="text1" w:val="000000"/>
      </w:rPr>
    </w:lvl>
    <w:lvl w:ilvl="2">
      <w:start w:val="1"/>
      <w:numFmt w:val="decimal"/>
      <w:lvlText w:val="%1.%2.%3."/>
      <w:lvlJc w:val="left"/>
      <w:pPr>
        <w:tabs>
          <w:tab w:val="num" w:pos="0"/>
        </w:tabs>
        <w:ind w:left="2062" w:hanging="720"/>
      </w:pPr>
      <w:rPr>
        <w:sz w:val="24"/>
        <w:szCs w:val="24"/>
      </w:rPr>
    </w:lvl>
    <w:lvl w:ilvl="3">
      <w:start w:val="1"/>
      <w:numFmt w:val="decimal"/>
      <w:lvlText w:val="%1.%2.%3.%4."/>
      <w:lvlJc w:val="left"/>
      <w:pPr>
        <w:tabs>
          <w:tab w:val="num" w:pos="0"/>
        </w:tabs>
        <w:ind w:left="2553" w:hanging="720"/>
      </w:pPr>
      <w:rPr/>
    </w:lvl>
    <w:lvl w:ilvl="4">
      <w:start w:val="1"/>
      <w:numFmt w:val="decimal"/>
      <w:lvlText w:val="%1.%2.%3.%4.%5."/>
      <w:lvlJc w:val="left"/>
      <w:pPr>
        <w:tabs>
          <w:tab w:val="num" w:pos="0"/>
        </w:tabs>
        <w:ind w:left="3404" w:hanging="1080"/>
      </w:pPr>
      <w:rPr/>
    </w:lvl>
    <w:lvl w:ilvl="5">
      <w:start w:val="1"/>
      <w:numFmt w:val="decimal"/>
      <w:lvlText w:val="%1.%2.%3.%4.%5.%6."/>
      <w:lvlJc w:val="left"/>
      <w:pPr>
        <w:tabs>
          <w:tab w:val="num" w:pos="0"/>
        </w:tabs>
        <w:ind w:left="3895" w:hanging="1080"/>
      </w:pPr>
      <w:rPr/>
    </w:lvl>
    <w:lvl w:ilvl="6">
      <w:start w:val="1"/>
      <w:numFmt w:val="decimal"/>
      <w:lvlText w:val="%1.%2.%3.%4.%5.%6.%7."/>
      <w:lvlJc w:val="left"/>
      <w:pPr>
        <w:tabs>
          <w:tab w:val="num" w:pos="0"/>
        </w:tabs>
        <w:ind w:left="4746" w:hanging="1440"/>
      </w:pPr>
      <w:rPr/>
    </w:lvl>
    <w:lvl w:ilvl="7">
      <w:start w:val="1"/>
      <w:numFmt w:val="decimal"/>
      <w:lvlText w:val="%1.%2.%3.%4.%5.%6.%7.%8."/>
      <w:lvlJc w:val="left"/>
      <w:pPr>
        <w:tabs>
          <w:tab w:val="num" w:pos="0"/>
        </w:tabs>
        <w:ind w:left="5237" w:hanging="1440"/>
      </w:pPr>
      <w:rPr/>
    </w:lvl>
    <w:lvl w:ilvl="8">
      <w:start w:val="1"/>
      <w:numFmt w:val="decimal"/>
      <w:lvlText w:val="%1.%2.%3.%4.%5.%6.%7.%8.%9."/>
      <w:lvlJc w:val="left"/>
      <w:pPr>
        <w:tabs>
          <w:tab w:val="num" w:pos="0"/>
        </w:tabs>
        <w:ind w:left="6088" w:hanging="1800"/>
      </w:pPr>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1212" w:hanging="360"/>
      </w:pPr>
      <w:rPr>
        <w:sz w:val="24"/>
        <w:szCs w:val="24"/>
        <w:rFonts w:ascii="Times New Roman" w:hAnsi="Times New Roman"/>
        <w:color w:themeColor="text1" w:val="000000"/>
      </w:rPr>
    </w:lvl>
    <w:lvl w:ilvl="2">
      <w:start w:val="1"/>
      <w:numFmt w:val="decimal"/>
      <w:lvlText w:val="%1.%2.%3."/>
      <w:lvlJc w:val="left"/>
      <w:pPr>
        <w:tabs>
          <w:tab w:val="num" w:pos="0"/>
        </w:tabs>
        <w:ind w:left="2424" w:hanging="720"/>
      </w:pPr>
      <w:rPr>
        <w:sz w:val="24"/>
        <w:szCs w:val="24"/>
        <w:rFonts w:ascii="Times New Roman" w:hAnsi="Times New Roman"/>
      </w:rPr>
    </w:lvl>
    <w:lvl w:ilvl="3">
      <w:start w:val="1"/>
      <w:numFmt w:val="decimal"/>
      <w:lvlText w:val="%1.%2.%3.%4."/>
      <w:lvlJc w:val="left"/>
      <w:pPr>
        <w:tabs>
          <w:tab w:val="num" w:pos="0"/>
        </w:tabs>
        <w:ind w:left="3276" w:hanging="720"/>
      </w:pPr>
      <w:rPr/>
    </w:lvl>
    <w:lvl w:ilvl="4">
      <w:start w:val="1"/>
      <w:numFmt w:val="decimal"/>
      <w:lvlText w:val="%1.%2.%3.%4.%5."/>
      <w:lvlJc w:val="left"/>
      <w:pPr>
        <w:tabs>
          <w:tab w:val="num" w:pos="0"/>
        </w:tabs>
        <w:ind w:left="4488" w:hanging="1080"/>
      </w:pPr>
      <w:rPr/>
    </w:lvl>
    <w:lvl w:ilvl="5">
      <w:start w:val="1"/>
      <w:numFmt w:val="decimal"/>
      <w:lvlText w:val="%1.%2.%3.%4.%5.%6."/>
      <w:lvlJc w:val="left"/>
      <w:pPr>
        <w:tabs>
          <w:tab w:val="num" w:pos="0"/>
        </w:tabs>
        <w:ind w:left="5340" w:hanging="1080"/>
      </w:pPr>
      <w:rPr/>
    </w:lvl>
    <w:lvl w:ilvl="6">
      <w:start w:val="1"/>
      <w:numFmt w:val="decimal"/>
      <w:lvlText w:val="%1.%2.%3.%4.%5.%6.%7."/>
      <w:lvlJc w:val="left"/>
      <w:pPr>
        <w:tabs>
          <w:tab w:val="num" w:pos="0"/>
        </w:tabs>
        <w:ind w:left="6552" w:hanging="1440"/>
      </w:pPr>
      <w:rPr/>
    </w:lvl>
    <w:lvl w:ilvl="7">
      <w:start w:val="1"/>
      <w:numFmt w:val="decimal"/>
      <w:lvlText w:val="%1.%2.%3.%4.%5.%6.%7.%8."/>
      <w:lvlJc w:val="left"/>
      <w:pPr>
        <w:tabs>
          <w:tab w:val="num" w:pos="0"/>
        </w:tabs>
        <w:ind w:left="7404" w:hanging="1440"/>
      </w:pPr>
      <w:rPr/>
    </w:lvl>
    <w:lvl w:ilvl="8">
      <w:start w:val="1"/>
      <w:numFmt w:val="decimal"/>
      <w:lvlText w:val="%1.%2.%3.%4.%5.%6.%7.%8.%9."/>
      <w:lvlJc w:val="left"/>
      <w:pPr>
        <w:tabs>
          <w:tab w:val="num" w:pos="0"/>
        </w:tabs>
        <w:ind w:left="8616" w:hanging="180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595e64"/>
    <w:rPr/>
  </w:style>
  <w:style w:type="character" w:styleId="Style15" w:customStyle="1">
    <w:name w:val="Нижний колонтитул Знак"/>
    <w:basedOn w:val="DefaultParagraphFont"/>
    <w:uiPriority w:val="99"/>
    <w:qFormat/>
    <w:rsid w:val="00595e64"/>
    <w:rPr/>
  </w:style>
  <w:style w:type="character" w:styleId="Hyperlink">
    <w:name w:val="Hyperlink"/>
    <w:basedOn w:val="DefaultParagraphFont"/>
    <w:uiPriority w:val="99"/>
    <w:unhideWhenUsed/>
    <w:rsid w:val="00090ccb"/>
    <w:rPr>
      <w:color w:themeColor="hyperlink" w:val="0563C1"/>
      <w:u w:val="single"/>
    </w:rPr>
  </w:style>
  <w:style w:type="character" w:styleId="Style16" w:customStyle="1">
    <w:name w:val="Основной текст Знак"/>
    <w:basedOn w:val="DefaultParagraphFont"/>
    <w:semiHidden/>
    <w:qFormat/>
    <w:rsid w:val="00650e2b"/>
    <w:rPr>
      <w:rFonts w:ascii="Times New Roman" w:hAnsi="Times New Roman" w:eastAsia="Times New Roman" w:cs="Times New Roman"/>
      <w:sz w:val="24"/>
      <w:szCs w:val="24"/>
      <w:lang w:eastAsia="ru-RU" w:bidi="ru-RU"/>
    </w:rPr>
  </w:style>
  <w:style w:type="character" w:styleId="Annotationreference">
    <w:name w:val="annotation reference"/>
    <w:basedOn w:val="DefaultParagraphFont"/>
    <w:uiPriority w:val="99"/>
    <w:semiHidden/>
    <w:unhideWhenUsed/>
    <w:qFormat/>
    <w:rsid w:val="003f335a"/>
    <w:rPr>
      <w:sz w:val="16"/>
      <w:szCs w:val="16"/>
    </w:rPr>
  </w:style>
  <w:style w:type="character" w:styleId="Style17" w:customStyle="1">
    <w:name w:val="Текст примечания Знак"/>
    <w:basedOn w:val="DefaultParagraphFont"/>
    <w:link w:val="Annotationtext"/>
    <w:uiPriority w:val="99"/>
    <w:semiHidden/>
    <w:qFormat/>
    <w:rsid w:val="003f335a"/>
    <w:rPr>
      <w:sz w:val="20"/>
      <w:szCs w:val="20"/>
    </w:rPr>
  </w:style>
  <w:style w:type="character" w:styleId="Style18" w:customStyle="1">
    <w:name w:val="Тема примечания Знак"/>
    <w:basedOn w:val="Style17"/>
    <w:link w:val="Annotationsubject"/>
    <w:uiPriority w:val="99"/>
    <w:semiHidden/>
    <w:qFormat/>
    <w:rsid w:val="003f335a"/>
    <w:rPr>
      <w:b/>
      <w:bCs/>
      <w:sz w:val="20"/>
      <w:szCs w:val="20"/>
    </w:rPr>
  </w:style>
  <w:style w:type="character" w:styleId="Style19" w:customStyle="1">
    <w:name w:val="Текст выноски Знак"/>
    <w:basedOn w:val="DefaultParagraphFont"/>
    <w:link w:val="BalloonText"/>
    <w:uiPriority w:val="99"/>
    <w:semiHidden/>
    <w:qFormat/>
    <w:rsid w:val="003f335a"/>
    <w:rPr>
      <w:rFonts w:ascii="Segoe UI" w:hAnsi="Segoe UI" w:cs="Segoe UI"/>
      <w:sz w:val="18"/>
      <w:szCs w:val="18"/>
    </w:rPr>
  </w:style>
  <w:style w:type="character" w:styleId="Docdata" w:customStyle="1">
    <w:name w:val="docdata"/>
    <w:basedOn w:val="DefaultParagraphFont"/>
    <w:qFormat/>
    <w:rsid w:val="00687aa3"/>
    <w:rPr/>
  </w:style>
  <w:style w:type="character" w:styleId="2" w:customStyle="1">
    <w:name w:val="Основной текст2"/>
    <w:basedOn w:val="DefaultParagraphFont"/>
    <w:qFormat/>
    <w:rsid w:val="009f7d74"/>
    <w:rPr>
      <w:rFonts w:ascii="Times New Roman" w:hAnsi="Times New Roman" w:eastAsia="Times New Roman" w:cs="Times New Roman"/>
      <w:b w:val="false"/>
      <w:bCs w:val="false"/>
      <w:i w:val="false"/>
      <w:iCs w:val="false"/>
      <w:caps w:val="false"/>
      <w:smallCaps w:val="false"/>
      <w:strike w:val="false"/>
      <w:dstrike w:val="false"/>
      <w:color w:val="000000"/>
      <w:spacing w:val="1"/>
      <w:w w:val="100"/>
      <w:sz w:val="20"/>
      <w:szCs w:val="20"/>
      <w:u w:val="none"/>
      <w:shd w:fill="FFFFFF" w:val="clear"/>
      <w:lang w:val="ru-RU"/>
    </w:rPr>
  </w:style>
  <w:style w:type="character" w:styleId="ConsNonformat" w:customStyle="1">
    <w:name w:val="ConsNonformat Знак"/>
    <w:link w:val="ConsNonformat1"/>
    <w:qFormat/>
    <w:locked/>
    <w:rsid w:val="00c45e77"/>
    <w:rPr>
      <w:rFonts w:ascii="Courier New" w:hAnsi="Courier New" w:eastAsia="Times New Roman" w:cs="Courier New"/>
      <w:sz w:val="20"/>
      <w:szCs w:val="20"/>
      <w:lang w:eastAsia="ru-RU"/>
    </w:rPr>
  </w:style>
  <w:style w:type="character" w:styleId="Strong">
    <w:name w:val="Strong"/>
    <w:basedOn w:val="DefaultParagraphFont"/>
    <w:uiPriority w:val="22"/>
    <w:qFormat/>
    <w:rsid w:val="00cc4119"/>
    <w:rPr>
      <w:b/>
      <w:bCs/>
    </w:rPr>
  </w:style>
  <w:style w:type="paragraph" w:styleId="Style20">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650e2b"/>
    <w:pPr>
      <w:widowControl w:val="false"/>
      <w:spacing w:lineRule="auto" w:line="240" w:before="0" w:after="120"/>
    </w:pPr>
    <w:rPr>
      <w:rFonts w:ascii="Times New Roman" w:hAnsi="Times New Roman" w:eastAsia="Times New Roman" w:cs="Times New Roman"/>
      <w:sz w:val="24"/>
      <w:szCs w:val="24"/>
      <w:lang w:eastAsia="ru-RU" w:bidi="ru-RU"/>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1">
    <w:name w:val="Указатель"/>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uppressLineNumbers/>
      <w:spacing w:before="120" w:after="120"/>
    </w:pPr>
    <w:rPr>
      <w:rFonts w:cs="Lucida Sans"/>
      <w:i/>
      <w:iCs/>
      <w:sz w:val="24"/>
      <w:szCs w:val="24"/>
    </w:rPr>
  </w:style>
  <w:style w:type="paragraph" w:styleId="Indexheading">
    <w:name w:val="index heading"/>
    <w:basedOn w:val="Normal"/>
    <w:qFormat/>
    <w:pPr>
      <w:suppressLineNumbers/>
    </w:pPr>
    <w:rPr>
      <w:rFonts w:cs="Lucida Sans"/>
    </w:rPr>
  </w:style>
  <w:style w:type="paragraph" w:styleId="Caption11" w:customStyle="1">
    <w:name w:val="caption11"/>
    <w:basedOn w:val="Normal"/>
    <w:qFormat/>
    <w:pPr>
      <w:suppressLineNumbers/>
      <w:spacing w:before="120" w:after="120"/>
    </w:pPr>
    <w:rPr>
      <w:rFonts w:cs="Lucida Sans"/>
      <w:i/>
      <w:iCs/>
      <w:sz w:val="24"/>
      <w:szCs w:val="24"/>
    </w:rPr>
  </w:style>
  <w:style w:type="paragraph" w:styleId="Style22" w:customStyle="1">
    <w:name w:val="Колонтитул"/>
    <w:basedOn w:val="Normal"/>
    <w:qFormat/>
    <w:pPr/>
    <w:rPr/>
  </w:style>
  <w:style w:type="paragraph" w:styleId="Header">
    <w:name w:val="Header"/>
    <w:basedOn w:val="Normal"/>
    <w:link w:val="Style14"/>
    <w:uiPriority w:val="99"/>
    <w:unhideWhenUsed/>
    <w:rsid w:val="00595e64"/>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595e64"/>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1a4369"/>
    <w:pPr>
      <w:spacing w:before="0" w:after="160"/>
      <w:ind w:left="720"/>
      <w:contextualSpacing/>
    </w:pPr>
    <w:rPr>
      <w:rFonts w:ascii="Calibri" w:hAnsi="Calibri" w:eastAsia="Calibri" w:cs="Calibri"/>
      <w:lang w:eastAsia="ru-RU"/>
    </w:rPr>
  </w:style>
  <w:style w:type="paragraph" w:styleId="StyleFirstline127cm" w:customStyle="1">
    <w:name w:val="Style First line:  127 cm"/>
    <w:basedOn w:val="Normal"/>
    <w:qFormat/>
    <w:rsid w:val="00650e2b"/>
    <w:pPr>
      <w:widowControl w:val="false"/>
      <w:spacing w:lineRule="auto" w:line="240" w:before="120" w:after="0"/>
      <w:ind w:firstLine="720"/>
      <w:jc w:val="both"/>
    </w:pPr>
    <w:rPr>
      <w:rFonts w:ascii="Arial" w:hAnsi="Arial" w:eastAsia="Arial" w:cs="Arial"/>
      <w:sz w:val="24"/>
      <w:szCs w:val="24"/>
      <w:lang w:eastAsia="ru-RU" w:bidi="ru-RU"/>
    </w:rPr>
  </w:style>
  <w:style w:type="paragraph" w:styleId="Annotationtext">
    <w:name w:val="annotation text"/>
    <w:basedOn w:val="Normal"/>
    <w:link w:val="Style17"/>
    <w:uiPriority w:val="99"/>
    <w:semiHidden/>
    <w:unhideWhenUsed/>
    <w:qFormat/>
    <w:rsid w:val="003f335a"/>
    <w:pPr>
      <w:spacing w:lineRule="auto" w:line="240"/>
    </w:pPr>
    <w:rPr>
      <w:sz w:val="20"/>
      <w:szCs w:val="20"/>
    </w:rPr>
  </w:style>
  <w:style w:type="paragraph" w:styleId="Annotationsubject">
    <w:name w:val="annotation subject"/>
    <w:basedOn w:val="Annotationtext"/>
    <w:next w:val="Annotationtext"/>
    <w:link w:val="Style18"/>
    <w:uiPriority w:val="99"/>
    <w:semiHidden/>
    <w:unhideWhenUsed/>
    <w:qFormat/>
    <w:rsid w:val="003f335a"/>
    <w:pPr/>
    <w:rPr>
      <w:b/>
      <w:bCs/>
    </w:rPr>
  </w:style>
  <w:style w:type="paragraph" w:styleId="BalloonText">
    <w:name w:val="Balloon Text"/>
    <w:basedOn w:val="Normal"/>
    <w:link w:val="Style19"/>
    <w:uiPriority w:val="99"/>
    <w:semiHidden/>
    <w:unhideWhenUsed/>
    <w:qFormat/>
    <w:rsid w:val="003f335a"/>
    <w:pPr>
      <w:spacing w:lineRule="auto" w:line="240" w:before="0" w:after="0"/>
    </w:pPr>
    <w:rPr>
      <w:rFonts w:ascii="Segoe UI" w:hAnsi="Segoe UI" w:cs="Segoe UI"/>
      <w:sz w:val="18"/>
      <w:szCs w:val="18"/>
    </w:rPr>
  </w:style>
  <w:style w:type="paragraph" w:styleId="ConsNonformat1" w:customStyle="1">
    <w:name w:val="ConsNonformat"/>
    <w:link w:val="ConsNonformat"/>
    <w:qFormat/>
    <w:rsid w:val="00c45e77"/>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Style23" w:customStyle="1">
    <w:name w:val="Содержимое врезки"/>
    <w:basedOn w:val="Normal"/>
    <w:qFormat/>
    <w:pPr/>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b">
    <w:name w:val="Table Grid"/>
    <w:basedOn w:val="a1"/>
    <w:uiPriority w:val="39"/>
    <w:rsid w:val="0060773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k.ikhakasii@yandex.ru" TargetMode="External"/><Relationship Id="rId3" Type="http://schemas.openxmlformats.org/officeDocument/2006/relationships/hyperlink" Target="https://invest19.ru/" TargetMode="External"/><Relationship Id="rId4" Type="http://schemas.openxmlformats.org/officeDocument/2006/relationships/hyperlink" Target="mailto:uk.ikhakasii@yandex.ru"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37515-BA95-4230-B460-20ED4F05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Application>Docx_Editor_PLUS/1.0.0.0$Windows_X86_64 LibreOffice_project/</Application>
  <AppVersion>15.0000</AppVersion>
  <Pages>62</Pages>
  <Words>16621</Words>
  <Characters>120322</Characters>
  <CharactersWithSpaces>137736</CharactersWithSpaces>
  <Paragraphs>1344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2026-08-24T04:41:00Z</dcterms:created>
  <dc:creator>user</dc:creator>
  <dc:description/>
  <dc:language>ru-RU</dc:language>
  <cp:lastModifiedBy/>
  <cp:lastPrinted>2026-08-26T03:06:00Z</cp:lastPrinted>
  <dcterms:modified xsi:type="dcterms:W3CDTF">2026-09-02T14:11:07Z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