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8D0" w:rsidRPr="000C77FC" w:rsidRDefault="001938D0" w:rsidP="00193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7FC">
        <w:rPr>
          <w:rFonts w:ascii="Times New Roman" w:hAnsi="Times New Roman" w:cs="Times New Roman"/>
          <w:sz w:val="26"/>
          <w:szCs w:val="26"/>
        </w:rPr>
        <w:t>Финансовая модель инвестиционного проекта</w:t>
      </w:r>
    </w:p>
    <w:p w:rsidR="001938D0" w:rsidRDefault="001938D0" w:rsidP="001938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54"/>
        <w:gridCol w:w="1834"/>
        <w:gridCol w:w="1624"/>
      </w:tblGrid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I. Исходные данные</w:t>
            </w: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Макроэкономические данные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Обязательные платежи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Предпосылки по учетной политике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Особенности расчетов с контрагентами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Ставка дисконтирования и метод ее расчета с обоснованием компонентов и ссылками на источники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Иные пояснения, исходные данные и предпосылки</w:t>
            </w:r>
          </w:p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к финансовой модели инвестиционного проекта (при наличии)</w:t>
            </w: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II. Базовые прогнозные расчеты</w:t>
            </w:r>
          </w:p>
        </w:tc>
      </w:tr>
      <w:tr w:rsidR="001938D0" w:rsidRPr="000C77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Детализация основных направлений расходов (постоянных и переменных) в рамках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в том числе прогноз объемов затрат, связанных с персоналом (с моделированием штатной структуры и численности)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в том числе прогноз объемов затрат, связанных с потреблением инфраструктурных мощностей (с указанием видов инфраструктуры)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в том числе прогноз объемов затрат инвестиционного характера (с указанием направлений расходования средств)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Детализация источников финансирования инвестиционного проекта за счет собственных и внешних (заемных) средств (с указанием основных условий привлечения средств)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Детализация основных направлений доходов (постоянных и переменных) в рамках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в том числе прогноз выручки (с указанием структуры и источников ее формирования)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Иные базовые прогнозные расчеты (при наличии)</w:t>
            </w: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III. Финансово-экономические показатели</w:t>
            </w: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Прогнозный баланс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Прогнозный отчет о финансовых результатах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Прогнозный отчет о движении денежных средств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IV. Бюджетная эффективность</w:t>
            </w: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Налоги (по уровням бюджетов бюджетной системы Российской Федерации и по видам платежей)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Таможенные платежи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Страховые взносы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Налоговые льготы (по уровням бюджетов бюджетной системы Российской Федерации и по видам платежей)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Таможенные льготы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Льготы по тарифам страховых взносов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Иные расчеты, характеризующие бюджетную эффективность</w:t>
            </w:r>
          </w:p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инвестиционного проекта (при наличии)</w:t>
            </w:r>
          </w:p>
        </w:tc>
      </w:tr>
      <w:tr w:rsidR="001938D0" w:rsidRPr="000C77FC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V. Финансово-экономическая эффективность</w:t>
            </w:r>
          </w:p>
        </w:tc>
      </w:tr>
      <w:tr w:rsidR="001938D0" w:rsidRPr="000C77F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Внутренняя норма доходности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без ОЭЗ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с ОЭЗ</w:t>
            </w:r>
          </w:p>
        </w:tc>
      </w:tr>
      <w:tr w:rsidR="001938D0" w:rsidRPr="000C77F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Чистая приведенная стоимость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Простой срок окупаемости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Дисконтированный срок окупаемости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8D0" w:rsidRPr="000C77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7FC">
              <w:rPr>
                <w:rFonts w:ascii="Times New Roman" w:hAnsi="Times New Roman" w:cs="Times New Roman"/>
                <w:sz w:val="26"/>
                <w:szCs w:val="26"/>
              </w:rPr>
              <w:t>Индекс прибыльности инвестиций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D0" w:rsidRPr="000C77FC" w:rsidRDefault="0019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38D0" w:rsidRDefault="001938D0" w:rsidP="001938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938D0" w:rsidRDefault="001938D0" w:rsidP="001938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938D0" w:rsidRDefault="001938D0" w:rsidP="001938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46BF1" w:rsidRDefault="00F46BF1"/>
    <w:sectPr w:rsidR="00F46BF1" w:rsidSect="000C77FC">
      <w:pgSz w:w="11905" w:h="16838" w:orient="landscape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23"/>
    <w:rsid w:val="00035631"/>
    <w:rsid w:val="000C77FC"/>
    <w:rsid w:val="001938D0"/>
    <w:rsid w:val="003B1423"/>
    <w:rsid w:val="0061456E"/>
    <w:rsid w:val="009D1D5D"/>
    <w:rsid w:val="00C575E2"/>
    <w:rsid w:val="00CB27DB"/>
    <w:rsid w:val="00DE61C2"/>
    <w:rsid w:val="00F4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99F0-7AF9-43BB-98D8-A1385195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MrDevel</cp:lastModifiedBy>
  <cp:revision>1</cp:revision>
  <cp:lastPrinted>2026-07-15T03:14:00Z</cp:lastPrinted>
  <dcterms:created xsi:type="dcterms:W3CDTF">2026-07-24T06:01:00Z</dcterms:created>
  <dcterms:modified xsi:type="dcterms:W3CDTF">2026-07-24T06:01:00Z</dcterms:modified>
</cp:coreProperties>
</file>