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«Управляющая компания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Инфраструктура Хакасии»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Д.А. Пауль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2/24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27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ноября 2024 г.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выполнение функций Технического Заказчика при проектировании, государственной экспертизе, строительстве, и вводе в эксплуатацию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Агропромышленн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ый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парк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«Черногорский»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 адресу: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Российская Федерация, Республика Хакасия, г. Черногорск, в районе комбината «Залив», промышленный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парк "Черногорский", участок 13.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tbl>
      <w:tblPr>
        <w:tblStyle w:val="879"/>
        <w:tblW w:w="0" w:type="auto"/>
        <w:tblLook w:val="04A0" w:firstRow="1" w:lastRow="0" w:firstColumn="1" w:lastColumn="0" w:noHBand="0" w:noVBand="1"/>
      </w:tblPr>
      <w:tblGrid>
        <w:gridCol w:w="693"/>
        <w:gridCol w:w="2101"/>
        <w:gridCol w:w="3393"/>
        <w:gridCol w:w="3158"/>
      </w:tblGrid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«Управляющая компания Инфраструктура Хакасии»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 1900014583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ОГРН 1241900001903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описание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роизводственно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состоящего из: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3"/>
              </w:numPr>
              <w:ind w:left="35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Административно-бытового помещения ориентировочной площадью 700 кв.м.;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3"/>
              </w:numPr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Производственного помещения ориентировочной площадью 2000 кв. м.;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3"/>
              </w:numPr>
              <w:ind w:left="35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Холодильно-морозильного помещения ориентировочной площадью 2000 кв.м.;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3"/>
              </w:numPr>
              <w:ind w:left="35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Блочно-модульной паровой котельной;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3"/>
              </w:numPr>
              <w:ind w:left="35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нженерных сетей электроснабжения, теплоснабжения, водоснабжения, водоотведения (схема и точки подключения согласовать с заказчиком).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Hlk18308186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Хакасия, г Черногорск, в районе комбината «Залив», 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 «Черногорский», участок 13.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функциям технического заказчика относится: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процессом разработки исходно-разрешительной документации, проектно-изыскательские работы, на стадии концепции, проект, рабочая документация;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 по согласованию документации, в том числе прохождение государственной строительной экспертизы, получение технических условий на присоединение к инженерным сетям и получению разрешений, необходимых для реализации проекта по строительству Объекта;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технического надзора и контроля за строительством Объекта;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деятельности по вводу Объекта в эксплуатацию;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финансового контроля за деятельностью подрядных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иных функций технического заказчика,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Градостроительным кодексом Российской Федерации и иными нормативно-правовыми актами;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консультаций при разработке технических заданий и договоров, направленных на строительство Объекта;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контроля на соответствие проектных решений и фактически выполненных работ техническим условиям, точкам подключения сетей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ливневой канализации (при необходимости), телефонной канализации 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соответствия объемов 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и предъявленных к оплате строительно-монтажных работ проектно-сметной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отчетности, в сроки, предусмотренные договором, по срокам работ (проектных, строительных, и т.п.), стоимости, наличии дефектов, предписаний;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формирования полного комплекта рабочей и исполнительной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составления дефектных ведомостей с приложением фотографий недостатков, дефектов и прочих нарушений.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Технического заказчика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предоставления Заказчиком необходимой исходной информации (документов), приступить к выполнению функций Технического заказчика.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имеющийся комплект документов, заключенные договоры (проекты договоров), при необходимости инициировать внесение изменений в договоры (в том числе заключенные) и прочие документы.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предоставить на согласование Заказчику график реализации проекта по строительству Объекта, включающий в себя сроки проектирования (с учетом заключенного договора на разработку проекта)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проектной документации (прохождения государственной экспертизы), сроки получения исходно-разрешительной документации, сроки комплекса строительно-монтажных работ, сроки ввода объекта в эксплуатацию и оформления правоустанавливающих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полнотой и качеством инженерных изысканий, необходимых для разработки проектной документации и строительства Объекта.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технические условия от соответствующих эксплуатирующих организаций на подключение Объекта к сетям инженерно-технического обеспечения, в том числе на период строительства, осуществлять контроль за сроками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выданных технических условий и при необходимости продлевать их срок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предпроектной стадии, проектной и рабочей документации, контроль за полнотой, качеством и сроками разработки проектной документации на всех стадиях. Выполнять анализ проектных решений и выдавать замечания (при необходимости).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проектной организацией обеспечить прохождение государственной экспертизы проекта, в том числе, обеспечить корректировку проектной документации при наличии замечаний и повторное прохождение экспертизы.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все оригиналы документов (техусловия, заключения, проектную документацию, заключение госэкспертизы и проч.) Заказчику.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Заказчиком договора на строительство Объекта (договор строительного подряда) совместно с подрядчиком разработать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на согласование Заказчику календарный план выполнения всего объема строительно-монтажных работ и осуществлять контроль за его выполнением.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в уполномоченный орган необходимый комплект документов для выдачи разрешения на строительство и получить оформленное в установленном порядке разрешение на строительство Объекта.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все иные согласования, разрешения. Заключения, необходимые для начала и проведения строительства Объекта.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80"/>
              <w:numPr>
                <w:ilvl w:val="0"/>
                <w:numId w:val="1"/>
              </w:numPr>
              <w:ind w:left="34" w:firstLine="0"/>
              <w:jc w:val="both"/>
              <w:tabs>
                <w:tab w:val="left" w:pos="5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технический надзор за строительством с соблюдением строительных норм и правил (СНиП), стандартов, технических условий и других нормативных документов, включающий в себя: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разработку технических заданий на виды строительно-монтажных работ, осуществление контрол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сроков выполнения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строительно-монтажных и пуско-наладочных работ, ведение контрол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и учет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объемов и стоимости принятых и оплаченных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работ, формирование накопительных ведомостей объемов выполненных строительно-монтажных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сопровождения процедур отбора поставщиков, подрядчиков/исполнителей для выполнения отдельных видов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работ, закупки материалов и оборудования, в части проверки состава и объемов работ, анализа документации;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соответствия выполняемых строительно-монтажных работ, применяемых изделий конструкций, материалов и оборудования проектным решениям, требованиям СНиП, стандартов, технических условий и других нормативных документов;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за безопасностью строительных конструкций и участков сетей инженерно-технического обеспечения;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с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огласование, совместно с Заказчиком, подрядчику перечень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планируемых поставщиков материалов и привлекаемых субподрядчиков, а также графики поставок строительных материалов и инженерного оборудования;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при необходимости осуществление в установленном порядке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технического сопровождения внесения изменений в проектную и/или рабочую документацию, согласование и утверждение таких изменений;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освидетельствования, оценки, оформление и подписание актов совместно с подрядными организациями выполненных работ и конструктивных элементов, скрываемых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при производстве последующих работ, а также обеспечение требований по запрещению производства дальнейших работ до оформления актов на освидетельствование скрытых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испытаний конструкций, в случаях, предусмотренных проектной документацией, требованиями технических регламентов;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принятие своевременных мер и контроля за устранением выявленных дефектов в проектной документации, ее пересмотр (в случае необходимости) и недопущение необоснованного увеличения стоимости строительства Объекта;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проверку наличия у подрядчиков и поставщиков документов,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удостоверяющих качество используемых на строительстве конструкций, изделий и материалов (технических паспортов, сертификатов, результатов лабораторных исследований и т.п.), а также допусков к производству соответствующих видов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осуществление, по мере готовности, с участием представителей подрядной (монтажной) и проектной организаций промежуточные приемки конструкций Объекта;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за соблюдением и выполнением на строительной площадке всех необходимых требований и мероприятий по технике безопасности, охране окружающей среды и зеленых насаждений, не подлежащих вырубке, охране земли во время проведения работ, за установлением освещения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на всех этапах строительства и т.п.;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участие в проверках, проводимых органами государственного строительного надзора, инспекциями и комиссиями, в т. ч.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состояния и соответствия проекту поступающего на монтаж оборудования, в оценке качества его монтажа, комплексном опробовании и приемке;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за соответствием объемов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качеств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выполненных и предъявленных к оплате строительно- монтажных работ, и рабочей документации;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участие совместно с Заказчиком в приемке выполненных объемов (этапов)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наличия и правильности ведения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первичной исполнительной технической документации (исполнительных схем смонтированных конструкций, частей здания, инженерных коммуникаций Объекта), и внесение в нее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изменений в связи с выявленными дефектами и недостатками при производстве строительно-монтажных работ; обеспечение наличия необходимого состава приемо-сдаточной исполнительной документации для приемки Объекта в эксплуатацию;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производство контрол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я исполнения строительно-монтажными организациями указаний и предписаний авторского надзора и органов государственного надзора, а также требований Заказчика, относящихся к вопросам качества выполняемых работ и применяемых конструкций, изделий и материалов;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контроль за выполнением мероприятий, предписанных всеми техническими условиями, обеспечивающими устойчивое функционирование Объекта;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проверка предъявляемых исполнителями, поставщиками материалов и подрядчиками документов на оплату выполненных работ, поставленной продукции и оказанных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Услуг. При необходимости, за счет Заказчика, заказывать соответствующие заключения и экспертизы и предъявлять претензии в соответствии с действующим законодательством;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контроль за строительством Объекта, соответствием объемов, стоимостью и качеством работ проектной документации, сметным расчетам и договорным ценам, строительным нормам и правилам на производство и приемку этих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направление предписаний о приостановке подрядчиком работ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и исправлении обнаруженных дефектов при обнаружении отступления от проекта, использования материалов и выполненных работ, качество которых не отвечает требованиям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ТУ, ГОСТ, СНиП и заключенных договоров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за исполнением подрядчиками предписаний государственных надзорных органов и авторского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надзора, требований нормативных правовых актов (нормативных документов) в части безопасных методов ведения строительства, качества работ и используемых материалов и строительных конструкций;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извещение, в установленном порядке, органов государственного строительного надзора о каждом случае возникновения аварийных ситуаций на строительстве Объекта;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составление и представление Заказчику уведомления о необходимости осуществления Заказчиком оплаты стоимости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работ (услуг) подрядных организаций и согласующих органов при реализации строительства Объекта, с приложением необходимых платежных документов;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организация приемочной комиссии по письменному извещению генподрядчика;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совершение всех необходимых действий для ввода Объекта в эксплуатацию, в т. ч. сбор и подача в уполномоченный орган,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выдавший разрешение на строительство, документов, в объеме необходимом для получения разрешения на ввод Объекта в эксплуатацию, участие в проведении комиссии по приемке Объекта в эксплуатацию;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осуществление контроля качества работ в течение гарантийного срока.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13. Осуществлять постоянную проверку и контролировать наличие следующих документов: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исполнительных схем положения ответственных конструкций,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исполнительных чертежей с внесенными изменениями и документами согласования этих изменений с проектной организацией и Заказчиком;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паспортов (сертификатов качества), сертификатов соответствия на привозимые на Объект готовые строительные материалы, изделия и конструкции;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сертификатов или паспортов, удостоверяющих качество материалов, примененных при производстве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результатов лабораторных испытаний материалов, выполненных испытательной лабораторией подрядчика;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актов освидетельствования скрытых работ;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актов промежуточной приемки конструкций,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актов испытаний конструкций;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общего журнала работ, других специализированных журналов;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- графиков выполнения работ.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pStyle w:val="880"/>
              <w:numPr>
                <w:ilvl w:val="0"/>
                <w:numId w:val="2"/>
              </w:numPr>
              <w:ind w:left="34" w:firstLine="0"/>
              <w:jc w:val="both"/>
              <w:shd w:val="clear" w:color="auto" w:fill="ffffff"/>
              <w:tabs>
                <w:tab w:val="left" w:pos="541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При необходимости дополнения или внесения изменений в документацию, переданной Исполнителю Заказчиком, сроки выполнения работ по настоящему Договору подлежат корректировке.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0"/>
                <w:numId w:val="2"/>
              </w:numPr>
              <w:ind w:left="34" w:firstLine="22"/>
              <w:jc w:val="both"/>
              <w:shd w:val="clear" w:color="auto" w:fill="ffffff"/>
              <w:tabs>
                <w:tab w:val="left" w:pos="320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Обнаружение недостатков в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 переданной Заказчиком документации не освобождает Технического заказчика от ответственности за соответствие вновь разрабатываемой привлеченными третьими лицами документации по проекту, требованиям СНиП, ГОСТ, иных норм и правил, а также условиям договора.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0"/>
                <w:numId w:val="2"/>
              </w:numPr>
              <w:ind w:left="34" w:firstLine="0"/>
              <w:jc w:val="both"/>
              <w:shd w:val="clear" w:color="auto" w:fill="ffffff"/>
              <w:tabs>
                <w:tab w:val="left" w:pos="408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По завершени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и реализации строительства Объекта, в случае консервации строительства Объекта, а также в случае досрочного расторжения договора, Технический заказчик передает Заказчику всю документацию не позднее 3 (трех) рабочих дней с даты соответствующего уведомления.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0"/>
                <w:numId w:val="2"/>
              </w:numPr>
              <w:ind w:left="34" w:firstLine="0"/>
              <w:jc w:val="both"/>
              <w:shd w:val="clear" w:color="auto" w:fill="ffffff"/>
              <w:tabs>
                <w:tab w:val="left" w:pos="419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В сл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учае причинения вреда вследствие разрушения, повреждения Объекта незавершенного строительства, нарушения требований безопасности при строительстве Объекта, возмещение вреда и выплата потерпевшим лицам компенсации в размере, установленном законодательством,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осуществляются Техническим заказчиком, если Технический заказчик не докажет, что указанные разрушения, повреждения, нарушения возникли вследствие умысла 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потерпевшего, действий третьих лиц или непреодолимой силы.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0"/>
                <w:numId w:val="2"/>
              </w:numPr>
              <w:ind w:left="34" w:firstLine="0"/>
              <w:jc w:val="both"/>
              <w:shd w:val="clear" w:color="auto" w:fill="ffffff"/>
              <w:tabs>
                <w:tab w:val="left" w:pos="320" w:leader="none"/>
                <w:tab w:val="left" w:pos="508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Технический заказчик несет ответственность за несоответствия Объекта проектной документации, строительным нормам и правилам, в том числе выявленные после приемки объекта.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Сдача результатов Заказчику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ind w:left="-59"/>
              <w:jc w:val="both"/>
              <w:shd w:val="clear" w:color="auto" w:fill="ffffff"/>
              <w:tabs>
                <w:tab w:val="left" w:pos="331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Технический заказчик представляет еженедельно Заказчику: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0"/>
                <w:numId w:val="4"/>
              </w:numPr>
              <w:ind w:left="-59" w:firstLine="0"/>
              <w:jc w:val="both"/>
              <w:shd w:val="clear" w:color="auto" w:fill="ffffff"/>
              <w:tabs>
                <w:tab w:val="left" w:pos="331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Отчет по строительному контролю;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0"/>
                <w:numId w:val="4"/>
              </w:numPr>
              <w:ind w:left="-59" w:firstLine="0"/>
              <w:jc w:val="both"/>
              <w:shd w:val="clear" w:color="auto" w:fill="ffffff"/>
              <w:tabs>
                <w:tab w:val="left" w:pos="331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Согласованную исполнительную документацию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ind w:left="-59"/>
              <w:jc w:val="both"/>
              <w:shd w:val="clear" w:color="auto" w:fill="ffffff"/>
              <w:tabs>
                <w:tab w:val="left" w:pos="331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Технический заказчик представляет ежемесячно Заказчику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3"/>
                <w:numId w:val="4"/>
              </w:numPr>
              <w:ind w:left="-59" w:hanging="30"/>
              <w:jc w:val="both"/>
              <w:shd w:val="clear" w:color="auto" w:fill="ffffff"/>
              <w:tabs>
                <w:tab w:val="left" w:pos="304" w:leader="none"/>
                <w:tab w:val="left" w:pos="331" w:leader="none"/>
              </w:tabs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Согласованный акт о приемке выполненных работ по унифицированной форме КС-2;</w:t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880"/>
              <w:numPr>
                <w:ilvl w:val="3"/>
                <w:numId w:val="4"/>
              </w:numPr>
              <w:ind w:left="-29" w:hanging="30"/>
              <w:jc w:val="both"/>
              <w:shd w:val="clear" w:color="auto" w:fill="ffffff"/>
              <w:tabs>
                <w:tab w:val="left" w:pos="352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  <w:t xml:space="preserve">Акт сдачи-приемки выполненных работ, счет и счет фактура.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83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Техническому заказчику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ind w:left="1" w:firstLine="0"/>
              <w:jc w:val="both"/>
              <w:spacing w:before="0" w:beforeAutospacing="0" w:after="0" w:afterAutospacing="0"/>
              <w:tabs>
                <w:tab w:val="left" w:pos="457" w:leader="none"/>
                <w:tab w:val="clear" w:pos="720" w:leader="none"/>
                <w:tab w:val="left" w:pos="851" w:leader="none"/>
                <w:tab w:val="left" w:pos="1134" w:leader="none"/>
              </w:tabs>
            </w:pPr>
            <w:r>
              <w:rPr>
                <w:color w:val="000000"/>
              </w:rPr>
              <w:t xml:space="preserve">Быть правомочными на заключение договора в соответствии с действующим законодательством Российской Федерации. </w:t>
            </w:r>
            <w:r/>
          </w:p>
          <w:p>
            <w:pPr>
              <w:pStyle w:val="880"/>
              <w:numPr>
                <w:ilvl w:val="0"/>
                <w:numId w:val="10"/>
              </w:numPr>
              <w:ind w:left="34" w:firstLine="0"/>
              <w:jc w:val="both"/>
              <w:tabs>
                <w:tab w:val="left" w:pos="412" w:leader="none"/>
                <w:tab w:val="clear" w:pos="7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Соответствие требованию (в отношении российского юридического лица) о непроведении ликвидации и отсутствии решения арбитражного суда (в отношении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оссийского юридического лица, индивидуального предпринимателя) о признании банкротом и об открытии конкурсного производства (https://bankrot.fedresurs.ru– Единый федеральный реестр сведений о банкротстве, https://kad.arbitr.ru/- картотека арбитражных дел).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81"/>
              <w:numPr>
                <w:ilvl w:val="0"/>
                <w:numId w:val="10"/>
              </w:numPr>
              <w:ind w:left="0" w:firstLine="0"/>
              <w:jc w:val="both"/>
              <w:spacing w:before="0" w:beforeAutospacing="0" w:after="0" w:afterAutospacing="0"/>
              <w:tabs>
                <w:tab w:val="left" w:pos="397" w:leader="none"/>
                <w:tab w:val="left" w:pos="1134" w:leader="none"/>
                <w:tab w:val="left" w:pos="1560" w:leader="none"/>
              </w:tabs>
            </w:pPr>
            <w:r>
              <w:rPr>
                <w:color w:val="000000"/>
              </w:rPr>
              <w:t xml:space="preserve">Соответствовать требованию (в отношении российского юридического лица) об отсутствии сведений в рее</w:t>
            </w:r>
            <w:r>
              <w:rPr>
                <w:color w:val="000000"/>
              </w:rPr>
              <w:t xml:space="preserve">страх недобросовестных Контрагентов, предусмотренных Федеральным законом № 223-ФЗ от 18.07.2011 «О закупках товаров, работ, услуг отдельными видами юридических лиц» и (или) Федеральным законом от 05.04.2013 № 44-ФЗ «О контрактной системе в сфере закупок». </w:t>
            </w:r>
            <w:r/>
          </w:p>
          <w:p>
            <w:pPr>
              <w:pStyle w:val="881"/>
              <w:numPr>
                <w:ilvl w:val="0"/>
                <w:numId w:val="9"/>
              </w:numPr>
              <w:jc w:val="both"/>
              <w:spacing w:before="0" w:beforeAutospacing="0" w:after="0" w:afterAutospacing="0"/>
              <w:tabs>
                <w:tab w:val="left" w:pos="567" w:leader="none"/>
              </w:tabs>
            </w:pPr>
            <w:r>
              <w:rPr>
                <w:color w:val="000000"/>
              </w:rPr>
              <w:t xml:space="preserve">Наличие действующей выписки СРО, допуска к работам в соответствии с Градостроительным кодексом РФ. </w:t>
            </w:r>
            <w:r/>
          </w:p>
          <w:p>
            <w:pPr>
              <w:pStyle w:val="881"/>
              <w:numPr>
                <w:ilvl w:val="0"/>
                <w:numId w:val="9"/>
              </w:numPr>
              <w:jc w:val="both"/>
              <w:spacing w:before="0" w:beforeAutospacing="0" w:after="0" w:afterAutospacing="0"/>
              <w:tabs>
                <w:tab w:val="left" w:pos="388" w:leader="none"/>
                <w:tab w:val="left" w:pos="567" w:leader="none"/>
              </w:tabs>
            </w:pPr>
            <w:r>
              <w:rPr>
                <w:color w:val="000000"/>
              </w:rPr>
              <w:t xml:space="preserve">Деятельность не должна быть приостановлена в порядке, установленном Кодексом Российской Федерации об административных правонарушениях на день подачи предложений и документов.</w:t>
            </w:r>
            <w:r/>
          </w:p>
          <w:p>
            <w:pPr>
              <w:pStyle w:val="881"/>
              <w:numPr>
                <w:ilvl w:val="0"/>
                <w:numId w:val="2"/>
              </w:numPr>
              <w:ind w:left="0" w:firstLine="34"/>
              <w:jc w:val="both"/>
              <w:spacing w:before="0" w:beforeAutospacing="0" w:after="0" w:afterAutospacing="0"/>
              <w:tabs>
                <w:tab w:val="left" w:pos="317" w:leader="none"/>
                <w:tab w:val="left" w:pos="388" w:leader="none"/>
              </w:tabs>
            </w:pPr>
            <w:r>
              <w:t xml:space="preserve">Проявляя должную осмотрительность при выборе Контрагента, Общество проводит пр</w:t>
            </w:r>
            <w:r>
              <w:t xml:space="preserve">оверку Контрагентов на наличие/отсутствие действующих исполнительных производств. При наличии действующего исполнительного производства, возбужденного в отношении Контрагента на сумму свыше 10 000,00 (Десяти тысяч) рублей, Заказчик вправе отказать в заключ</w:t>
            </w:r>
            <w:r>
              <w:t xml:space="preserve">ении договора такому Контрагенту (даже при его соответствии установленным требованиям и критериям) либо договор с таким Контрагентом может быть заключен на условиях оплаты услуг только после исполнения обязательств по заключаемому договору в полном объеме.</w:t>
            </w:r>
            <w:r/>
          </w:p>
          <w:p>
            <w:pPr>
              <w:pStyle w:val="881"/>
              <w:ind w:left="34"/>
              <w:jc w:val="both"/>
              <w:spacing w:before="0" w:beforeAutospacing="0" w:after="0" w:afterAutospacing="0"/>
              <w:tabs>
                <w:tab w:val="left" w:pos="884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С целью повышения качества оказываемых услуг, Заказчиком разработаны требования, определенные в качестве критериев для оценки участника процедуры отбора.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881"/>
              <w:ind w:left="34"/>
              <w:jc w:val="both"/>
              <w:spacing w:before="0" w:beforeAutospacing="0" w:after="0" w:afterAutospacing="0"/>
              <w:tabs>
                <w:tab w:val="left" w:pos="884" w:leader="none"/>
              </w:tabs>
            </w:pPr>
            <w:r>
              <w:rPr>
                <w:color w:val="000000"/>
              </w:rPr>
              <w:t xml:space="preserve">Контрагент должен соответствовать следующим требованиям, определенным в качестве критериев: 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881"/>
              <w:ind w:left="360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Критерии отбора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54" w:type="dxa"/>
            <w:textDirection w:val="lrTb"/>
            <w:noWrap w:val="false"/>
          </w:tcPr>
          <w:p>
            <w:pPr>
              <w:pStyle w:val="881"/>
              <w:ind w:left="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Подтверждающие документы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3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both"/>
              <w:spacing w:before="0" w:beforeAutospacing="0" w:after="0" w:afterAutospacing="0"/>
              <w:tabs>
                <w:tab w:val="left" w:pos="175" w:leader="none"/>
                <w:tab w:val="left" w:pos="459" w:leader="none"/>
                <w:tab w:val="left" w:pos="1134" w:leader="none"/>
                <w:tab w:val="center" w:pos="1592" w:leader="none"/>
              </w:tabs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Опыт п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редоставления услуг Технического заказчика при  проектировании, госэкспертизе, строительстве, вводе в эксплуатацию  объектов капитального строительства в количестве не менее двух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стоимостью каждого не менее 100 000 000 (ста миллионов) рублей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и в период с октября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2015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 по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октябрь 2024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 годы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 .</w:t>
            </w:r>
            <w:r>
              <w:rPr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color w:val="000000"/>
                <w:sz w:val="20"/>
                <w:szCs w:val="20"/>
                <w:highlight w:val="white"/>
              </w:rPr>
            </w:r>
            <w:r>
              <w:rPr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254" w:type="dxa"/>
            <w:textDirection w:val="lrTb"/>
            <w:noWrap w:val="false"/>
          </w:tcPr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Договоры (не менее двух) с актами выполненных работ/оказанных услуг или соглашения об оказании услуг с актами приемки оказанных услуг. 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289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both"/>
              <w:spacing w:before="0" w:beforeAutospacing="0" w:after="0" w:afterAutospacing="0"/>
              <w:tabs>
                <w:tab w:val="left" w:pos="175" w:leader="none"/>
                <w:tab w:val="left" w:pos="459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rStyle w:val="883"/>
                <w:color w:val="000000"/>
                <w:sz w:val="20"/>
                <w:szCs w:val="20"/>
              </w:rPr>
              <w:t xml:space="preserve">Наличие положительных рекомендаций и/или отзывов </w:t>
            </w:r>
            <w:r>
              <w:rPr>
                <w:color w:val="000000"/>
                <w:sz w:val="20"/>
                <w:szCs w:val="20"/>
              </w:rPr>
              <w:t xml:space="preserve">об участнике отбора от его контрагентов по договорам, по которым оказывались услу</w:t>
            </w:r>
            <w:r>
              <w:rPr>
                <w:color w:val="000000"/>
                <w:sz w:val="20"/>
                <w:szCs w:val="20"/>
              </w:rPr>
              <w:t xml:space="preserve">ги по выбранному направлению, и/или наличие положительных отзывов в сети Интернет, и/или наличие контактов клиентов, у которых можно получить устное подтверждение оказания услуг и обсудить уровень удовлетворенности качеством услуг, опытом участника отбора.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175" w:leader="none"/>
                <w:tab w:val="left" w:pos="459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254" w:type="dxa"/>
            <w:textDirection w:val="lrTb"/>
            <w:noWrap w:val="false"/>
          </w:tcPr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Благодарственные письма, и/или рекомендации, и/или перечень контрагентов с указанием тел. для связи).</w:t>
            </w:r>
            <w:r>
              <w:rPr>
                <w:rStyle w:val="883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2767"/>
        </w:trPr>
        <w:tc>
          <w:tcPr>
            <w:tcW w:w="704" w:type="dxa"/>
            <w:vMerge w:val="continue"/>
            <w:textDirection w:val="lrTb"/>
            <w:noWrap w:val="false"/>
          </w:tcPr>
          <w:p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both"/>
              <w:spacing w:before="0" w:beforeAutospacing="0" w:after="0" w:afterAutospacing="0"/>
              <w:tabs>
                <w:tab w:val="left" w:pos="175" w:leader="none"/>
                <w:tab w:val="left" w:pos="459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rStyle w:val="883"/>
                <w:color w:val="000000"/>
                <w:sz w:val="20"/>
                <w:szCs w:val="20"/>
              </w:rPr>
              <w:t xml:space="preserve">Наличие работников (принятых по трудовым договорам) и/или привлече</w:t>
            </w:r>
            <w:r>
              <w:rPr>
                <w:rStyle w:val="883"/>
                <w:color w:val="000000"/>
                <w:sz w:val="20"/>
                <w:szCs w:val="20"/>
              </w:rPr>
              <w:t xml:space="preserve">нных по гражданско-правовым договорам физических лиц (за исключением индивидуальных предпринимателей и физических лиц, применяющих специальный налоговый режим «Налог на профессиональный доход»), специализирующихся на оказании услуг Технического заказчика. </w:t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  <w:p>
            <w:pPr>
              <w:pStyle w:val="881"/>
              <w:ind w:left="0" w:firstLine="0"/>
              <w:jc w:val="both"/>
              <w:spacing w:before="0" w:beforeAutospacing="0" w:after="0" w:afterAutospacing="0"/>
              <w:tabs>
                <w:tab w:val="left" w:pos="175" w:leader="none"/>
                <w:tab w:val="left" w:pos="459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</w:rPr>
            </w:pP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  <w:r>
              <w:rPr>
                <w:rStyle w:val="883"/>
                <w:color w:val="000000"/>
                <w:sz w:val="20"/>
                <w:szCs w:val="20"/>
              </w:rPr>
            </w:r>
          </w:p>
        </w:tc>
        <w:tc>
          <w:tcPr>
            <w:tcW w:w="3254" w:type="dxa"/>
            <w:vMerge w:val="restart"/>
            <w:textDirection w:val="lrTb"/>
            <w:noWrap w:val="false"/>
          </w:tcPr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none"/>
              </w:rPr>
            </w:pPr>
            <w:r>
              <w:rPr>
                <w:rStyle w:val="883"/>
                <w:color w:val="000000"/>
                <w:sz w:val="20"/>
                <w:szCs w:val="20"/>
              </w:rPr>
              <w:t xml:space="preserve">Копии действующих трудовых договоров/действующих договоров гражданско-правового характера и/или выкопировка из трудовой книжки (страница с ФИО работника, страница о приеме работника на работу и следующая страница).</w:t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  <w:r>
              <w:rPr>
                <w:rStyle w:val="883"/>
                <w:color w:val="000000"/>
                <w:sz w:val="20"/>
                <w:szCs w:val="20"/>
                <w:highlight w:val="none"/>
              </w:rPr>
            </w:r>
          </w:p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177"/>
        </w:trPr>
        <w:tc>
          <w:tcPr>
            <w:tcW w:w="704" w:type="dxa"/>
            <w:vMerge w:val="restart"/>
            <w:textDirection w:val="lrTb"/>
            <w:noWrap w:val="false"/>
          </w:tcPr>
          <w:p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pStyle w:val="881"/>
              <w:numPr>
                <w:ilvl w:val="0"/>
                <w:numId w:val="12"/>
              </w:numPr>
              <w:ind w:left="0" w:firstLine="0"/>
              <w:jc w:val="both"/>
              <w:spacing w:before="0" w:beforeAutospacing="0" w:after="0" w:afterAutospacing="0"/>
              <w:tabs>
                <w:tab w:val="left" w:pos="175" w:leader="none"/>
                <w:tab w:val="left" w:pos="459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white"/>
              </w:rPr>
            </w:pPr>
            <w:r>
              <w:rPr>
                <w:rStyle w:val="883"/>
                <w:color w:val="00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Срок и объем предоставляемых гарантий качества услуг, возможность устранения недостатков после приемки.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</w:r>
          </w:p>
        </w:tc>
        <w:tc>
          <w:tcPr>
            <w:tcW w:w="3254" w:type="dxa"/>
            <w:vMerge w:val="restart"/>
            <w:textDirection w:val="lrTb"/>
            <w:noWrap w:val="false"/>
          </w:tcPr>
          <w:p>
            <w:pPr>
              <w:pStyle w:val="881"/>
              <w:jc w:val="both"/>
              <w:spacing w:before="0" w:beforeAutospacing="0" w:after="0" w:afterAutospacing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0"/>
                <w:szCs w:val="20"/>
                <w:highlight w:val="white"/>
              </w:rPr>
            </w:pPr>
            <w:r>
              <w:rPr>
                <w:rStyle w:val="883"/>
                <w:color w:val="000000"/>
                <w:sz w:val="20"/>
                <w:szCs w:val="20"/>
                <w:highlight w:val="white"/>
              </w:rPr>
              <w:t xml:space="preserve">Гарантийное письмо с указанием гарантийного срока на услуги и объема услуг/работ при выявлении недостатков (нарушений при строительстве,  повреждений объектов капитального строительства и проч.) в период действия гарантийного срока. </w:t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</w:r>
            <w:r>
              <w:rPr>
                <w:rStyle w:val="883"/>
                <w:color w:val="000000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vMerge w:val="restart"/>
            <w:textDirection w:val="lrTb"/>
            <w:noWrap w:val="false"/>
          </w:tcPr>
          <w:p>
            <w:pPr>
              <w:pStyle w:val="881"/>
              <w:ind w:left="1"/>
              <w:jc w:val="both"/>
              <w:spacing w:before="0" w:after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rStyle w:val="883"/>
                <w:color w:val="000000"/>
                <w:sz w:val="24"/>
                <w:szCs w:val="24"/>
                <w:highlight w:val="white"/>
              </w:rPr>
            </w:pPr>
            <w:r>
              <w:rPr>
                <w:rStyle w:val="883"/>
                <w:color w:val="000000"/>
                <w:sz w:val="24"/>
                <w:szCs w:val="24"/>
                <w:highlight w:val="white"/>
              </w:rPr>
              <w:t xml:space="preserve">Минимальный размер соответствия требованиям, установленным в качестве критериев для оценки участника процедуры отбора исполнителя (контрагента) -  100 </w:t>
            </w:r>
            <w:r>
              <w:rPr>
                <w:rStyle w:val="883"/>
                <w:color w:val="000000"/>
                <w:sz w:val="24"/>
                <w:szCs w:val="24"/>
                <w:highlight w:val="white"/>
              </w:rPr>
              <w:t xml:space="preserve">%</w:t>
            </w:r>
            <w:r>
              <w:rPr>
                <w:rStyle w:val="883"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rStyle w:val="883"/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81"/>
              <w:ind w:left="1"/>
              <w:jc w:val="both"/>
              <w:spacing w:before="0" w:after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Style w:val="883"/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Каждый критерий оценки участников процедуры отбора имеет равнозначный процент. Сумма процентов по всем баллам составляет 100%.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pStyle w:val="881"/>
              <w:ind w:left="1"/>
              <w:jc w:val="both"/>
              <w:spacing w:before="0" w:after="0"/>
              <w:tabs>
                <w:tab w:val="left" w:pos="457" w:leader="none"/>
                <w:tab w:val="left" w:pos="851" w:leader="none"/>
                <w:tab w:val="left" w:pos="1134" w:leader="none"/>
              </w:tabs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Минимальный размер процентов соответствия рассчитывается следующим образом: количество критериев, соответствие которым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подтверждено исполнителем, делится на общее количество критериев, предусмотренных для конкретных работ/услуг, и умножается на 100 %.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both"/>
              <w:tabs>
                <w:tab w:val="left" w:pos="268" w:leader="none"/>
                <w:tab w:val="left" w:pos="1276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Требования к документам, подтверждающим критерии: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Договоры, подтверждающие наличие работников (трудовые договоры); договоры, подтверж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дающие наличие исполнителей (подрядчиков) (договоры ГПХ), должны быть действующими (т.е. при рассмотрении предоставленных документов можно было однозначно установить, что срок действия договора равен сроку или превышает срок оказания услуг/выполнения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, на выполнение которых производится отбор). При пролонгации (продлении) договоров предоставляются документы, подтверждающие пролонгацию договора: дополнительное соглашение, свидетельствующее о продлении срока договора (работ, услуг) или при автоматической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ab/>
              <w:t xml:space="preserve"> пролонгации – письмо привлекаемой стороны о том, что правоотношения по договору продолжаются.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 w:eastAsia="ru-RU"/>
              </w:rPr>
              <w:t xml:space="preserve">При предоставлении копий трудовых договоров и трудовых книжек, на копии должна содержаться приписка о том, что сотрудник работает по настоящее время, с указанием даты, в которую осуществляется заверение наличия трудовых отношений.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При изменении ФИО лица/наименования юридическо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го лица, документы которого предоставляются для подтверждения соответствия критерию - копия свидетельства о заключении брака/расторжении брака, копия решения об изменении наименования юридического лица или иной документ, подтверждающий указанные изменения.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Документы, подтверждающие соответствие требованиям, определенным в качестве критериев, для оценки участника процедуры отбора предоставляются на русском языке либо на иностранном языке с приложением заверенного перевода.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Документы, подтверждающие соответствие участника отбора критериям, предоставляются за период, указанный в техническом задании, необходимый для оценки.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Документы, подтверждающие соответствие участника отбора критериям, предоставляются в количестве, определенном в Техническом задании на оказание услуг.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 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tabs>
                <w:tab w:val="left" w:pos="268" w:leader="none"/>
                <w:tab w:val="left" w:pos="709" w:leader="none"/>
                <w:tab w:val="clear" w:pos="720" w:leader="none"/>
              </w:tabs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Участник отбора, при предоставлении документов, содержащих персональные данные физических лиц, гарантирует, что указанные данные получены и предоставлены с согласия физического лица, которому персональные данные принадлежат.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Ориентировочный срок оказания услуг – декабрь 2024 – декабрь 2026. Указанный срок может быть изменен в зависимости от хода строительства.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стоимость строительства 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412 000 000,00 (четыреста двенадцать миллионов) рублей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казанная стоимость подлежит корректировке после проведения экспертизы достоверности сметной стоимости,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в процессе производства строительных работ исходя из фактических затрат.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оплаты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679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оплаты услуг Технического заказчика определяется сторонами в договоре на оказание услуг.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59"/>
      </w:pPr>
      <w:rPr>
        <w:rFonts w:ascii="Times New Roman" w:hAnsi="Times New Roman" w:eastAsia="Times New Roman" w:cs="Times New Roman"/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rFonts w:hint="default" w:ascii="Times New Roman" w:hAnsi="Times New Roman" w:cs="Times New Roman"/>
        <w:strike w:val="0"/>
        <w:sz w:val="24"/>
        <w:szCs w:val="24"/>
        <w:highlight w:val="whit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7">
    <w:abstractNumId w:val="0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8">
    <w:abstractNumId w:val="6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9">
    <w:abstractNumId w:val="6"/>
    <w:lvlOverride w:ilvl="0">
      <w:lvl w:ilvl="0">
        <w:start w:val="1"/>
        <w:numFmt w:val="decimal"/>
        <w:isLgl w:val="false"/>
        <w:suff w:val="tab"/>
        <w:lvlText w:val="%1."/>
        <w:lvlJc w:val="left"/>
        <w:pPr/>
      </w:lvl>
    </w:lvlOverride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684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10"/>
    <w:link w:val="723"/>
    <w:uiPriority w:val="10"/>
    <w:rPr>
      <w:sz w:val="48"/>
      <w:szCs w:val="48"/>
    </w:rPr>
  </w:style>
  <w:style w:type="character" w:styleId="693">
    <w:name w:val="Subtitle Char"/>
    <w:basedOn w:val="710"/>
    <w:link w:val="725"/>
    <w:uiPriority w:val="11"/>
    <w:rPr>
      <w:sz w:val="24"/>
      <w:szCs w:val="24"/>
    </w:rPr>
  </w:style>
  <w:style w:type="character" w:styleId="694">
    <w:name w:val="Quote Char"/>
    <w:link w:val="727"/>
    <w:uiPriority w:val="29"/>
    <w:rPr>
      <w:i/>
    </w:rPr>
  </w:style>
  <w:style w:type="character" w:styleId="695">
    <w:name w:val="Intense Quote Char"/>
    <w:link w:val="729"/>
    <w:uiPriority w:val="30"/>
    <w:rPr>
      <w:i/>
    </w:rPr>
  </w:style>
  <w:style w:type="character" w:styleId="696">
    <w:name w:val="Header Char"/>
    <w:basedOn w:val="710"/>
    <w:link w:val="731"/>
    <w:uiPriority w:val="99"/>
  </w:style>
  <w:style w:type="character" w:styleId="697">
    <w:name w:val="Caption Char"/>
    <w:basedOn w:val="735"/>
    <w:link w:val="733"/>
    <w:uiPriority w:val="99"/>
  </w:style>
  <w:style w:type="character" w:styleId="698">
    <w:name w:val="Footnote Text Char"/>
    <w:link w:val="862"/>
    <w:uiPriority w:val="99"/>
    <w:rPr>
      <w:sz w:val="18"/>
    </w:rPr>
  </w:style>
  <w:style w:type="character" w:styleId="699">
    <w:name w:val="Endnote Text Char"/>
    <w:link w:val="865"/>
    <w:uiPriority w:val="99"/>
    <w:rPr>
      <w:sz w:val="20"/>
    </w:r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Заголовок 1 Знак"/>
    <w:basedOn w:val="710"/>
    <w:link w:val="701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after="0" w:line="240" w:lineRule="auto"/>
    </w:pPr>
  </w:style>
  <w:style w:type="paragraph" w:styleId="723">
    <w:name w:val="Title"/>
    <w:basedOn w:val="700"/>
    <w:next w:val="700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10"/>
    <w:link w:val="723"/>
    <w:uiPriority w:val="10"/>
    <w:rPr>
      <w:sz w:val="48"/>
      <w:szCs w:val="48"/>
    </w:rPr>
  </w:style>
  <w:style w:type="paragraph" w:styleId="725">
    <w:name w:val="Subtitle"/>
    <w:basedOn w:val="700"/>
    <w:next w:val="700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10"/>
    <w:link w:val="725"/>
    <w:uiPriority w:val="11"/>
    <w:rPr>
      <w:sz w:val="24"/>
      <w:szCs w:val="24"/>
    </w:rPr>
  </w:style>
  <w:style w:type="paragraph" w:styleId="727">
    <w:name w:val="Quote"/>
    <w:basedOn w:val="700"/>
    <w:next w:val="700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0"/>
    <w:next w:val="700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700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basedOn w:val="710"/>
    <w:link w:val="731"/>
    <w:uiPriority w:val="99"/>
  </w:style>
  <w:style w:type="paragraph" w:styleId="733">
    <w:name w:val="Footer"/>
    <w:basedOn w:val="700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basedOn w:val="710"/>
    <w:uiPriority w:val="99"/>
  </w:style>
  <w:style w:type="paragraph" w:styleId="735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 w:customStyle="1">
    <w:name w:val="Table Grid Light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1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1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6" w:customStyle="1">
    <w:name w:val="Grid Table 4 - Accent 2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7" w:customStyle="1">
    <w:name w:val="Grid Table 4 - Accent 3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8" w:customStyle="1">
    <w:name w:val="Grid Table 4 - Accent 4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9" w:customStyle="1">
    <w:name w:val="Grid Table 4 - Accent 5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0" w:customStyle="1">
    <w:name w:val="Grid Table 4 - Accent 6"/>
    <w:basedOn w:val="71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1">
    <w:name w:val="Grid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0" w:customStyle="1">
    <w:name w:val="Grid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1" w:customStyle="1">
    <w:name w:val="Grid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2" w:customStyle="1">
    <w:name w:val="Grid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3" w:customStyle="1">
    <w:name w:val="Grid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4" w:customStyle="1">
    <w:name w:val="Grid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>
    <w:name w:val="Grid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9" w:customStyle="1">
    <w:name w:val="List Table 6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0" w:customStyle="1">
    <w:name w:val="List Table 6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1" w:customStyle="1">
    <w:name w:val="List Table 6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2" w:customStyle="1">
    <w:name w:val="List Table 6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3" w:customStyle="1">
    <w:name w:val="List Table 6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4">
    <w:name w:val="List Table 7 Colorful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 &amp; Lined - Accent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Bordered &amp; Lined - Accent 2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Bordered &amp; Lined - Accent 3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Bordered &amp; Lined - Accent 4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Bordered &amp; Lined - Accent 5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Bordered &amp; Lined - Accent 6"/>
    <w:basedOn w:val="71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7" w:customStyle="1">
    <w:name w:val="Bordered - Accent 2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8" w:customStyle="1">
    <w:name w:val="Bordered - Accent 3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9" w:customStyle="1">
    <w:name w:val="Bordered - Accent 4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0" w:customStyle="1">
    <w:name w:val="Bordered - Accent 5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1" w:customStyle="1">
    <w:name w:val="Bordered - Accent 6"/>
    <w:basedOn w:val="71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2">
    <w:name w:val="footnote text"/>
    <w:basedOn w:val="700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10"/>
    <w:uiPriority w:val="99"/>
    <w:unhideWhenUsed/>
    <w:rPr>
      <w:vertAlign w:val="superscript"/>
    </w:rPr>
  </w:style>
  <w:style w:type="paragraph" w:styleId="865">
    <w:name w:val="endnote text"/>
    <w:basedOn w:val="700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10"/>
    <w:uiPriority w:val="99"/>
    <w:semiHidden/>
    <w:unhideWhenUsed/>
    <w:rPr>
      <w:vertAlign w:val="superscript"/>
    </w:rPr>
  </w:style>
  <w:style w:type="paragraph" w:styleId="868">
    <w:name w:val="toc 1"/>
    <w:basedOn w:val="700"/>
    <w:next w:val="700"/>
    <w:uiPriority w:val="39"/>
    <w:unhideWhenUsed/>
    <w:pPr>
      <w:spacing w:after="57"/>
    </w:pPr>
  </w:style>
  <w:style w:type="paragraph" w:styleId="869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0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1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2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3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4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5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6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0"/>
    <w:next w:val="700"/>
    <w:uiPriority w:val="99"/>
    <w:unhideWhenUsed/>
    <w:pPr>
      <w:spacing w:after="0"/>
    </w:pPr>
  </w:style>
  <w:style w:type="table" w:styleId="879">
    <w:name w:val="Table Grid"/>
    <w:basedOn w:val="71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0">
    <w:name w:val="List Paragraph"/>
    <w:basedOn w:val="700"/>
    <w:link w:val="884"/>
    <w:uiPriority w:val="34"/>
    <w:qFormat/>
    <w:pPr>
      <w:contextualSpacing/>
      <w:ind w:left="720"/>
    </w:pPr>
  </w:style>
  <w:style w:type="paragraph" w:styleId="881">
    <w:name w:val="Normal (Web)"/>
    <w:basedOn w:val="70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2">
    <w:name w:val="Hyperlink"/>
    <w:basedOn w:val="710"/>
    <w:uiPriority w:val="99"/>
    <w:semiHidden/>
    <w:unhideWhenUsed/>
    <w:rPr>
      <w:color w:val="0000ff"/>
      <w:u w:val="single"/>
    </w:rPr>
  </w:style>
  <w:style w:type="character" w:styleId="883" w:customStyle="1">
    <w:name w:val="docdata"/>
    <w:basedOn w:val="710"/>
  </w:style>
  <w:style w:type="character" w:styleId="884" w:customStyle="1">
    <w:name w:val="Абзац списка Знак"/>
    <w:link w:val="880"/>
    <w:uiPriority w:val="34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E1B6-A092-412D-8136-151D132B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Arabakan Arabakan</dc:creator>
  <cp:keywords/>
  <dc:description/>
  <cp:lastModifiedBy>Денис Пауль</cp:lastModifiedBy>
  <cp:revision>16</cp:revision>
  <dcterms:created xsi:type="dcterms:W3CDTF">2024-11-14T08:27:00Z</dcterms:created>
  <dcterms:modified xsi:type="dcterms:W3CDTF">2024-11-27T02:52:47Z</dcterms:modified>
</cp:coreProperties>
</file>